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48F69" w14:textId="3242C343" w:rsidR="00BD3D9F" w:rsidRPr="00AC7332" w:rsidRDefault="00E86B69" w:rsidP="008D72BF">
      <w:pPr>
        <w:spacing w:before="120" w:line="276" w:lineRule="auto"/>
        <w:jc w:val="right"/>
        <w:rPr>
          <w:b/>
          <w:szCs w:val="20"/>
          <w:lang w:val="en-US"/>
        </w:rPr>
      </w:pPr>
      <w:r w:rsidRPr="00AC7332">
        <w:rPr>
          <w:rStyle w:val="Zdraznn"/>
          <w:szCs w:val="20"/>
          <w:lang w:val="en-US"/>
        </w:rPr>
        <w:t>PRESS RELEASE</w:t>
      </w:r>
    </w:p>
    <w:p w14:paraId="5DA9DFBE" w14:textId="79B63D58" w:rsidR="006570D5" w:rsidRPr="00AC7332" w:rsidRDefault="00E86B69" w:rsidP="006570D5">
      <w:pPr>
        <w:spacing w:before="120" w:line="276" w:lineRule="auto"/>
        <w:jc w:val="center"/>
        <w:rPr>
          <w:rFonts w:cs="Calibri"/>
          <w:b/>
          <w:bCs/>
          <w:color w:val="000000" w:themeColor="text1"/>
          <w:szCs w:val="20"/>
          <w:lang w:val="en-US"/>
        </w:rPr>
      </w:pPr>
      <w:r w:rsidRPr="00AC7332">
        <w:rPr>
          <w:rFonts w:cs="Arial"/>
          <w:b/>
          <w:bCs/>
          <w:kern w:val="28"/>
          <w:sz w:val="40"/>
          <w:szCs w:val="32"/>
          <w:lang w:val="en-US"/>
        </w:rPr>
        <w:t xml:space="preserve">Colt CZ Group increased revenues by </w:t>
      </w:r>
      <w:r w:rsidR="00BF4FD4" w:rsidRPr="00AC7332">
        <w:rPr>
          <w:rFonts w:cs="Arial"/>
          <w:b/>
          <w:bCs/>
          <w:kern w:val="28"/>
          <w:sz w:val="40"/>
          <w:szCs w:val="32"/>
          <w:lang w:val="en-US"/>
        </w:rPr>
        <w:t xml:space="preserve">27.7% compared to first quarter of the </w:t>
      </w:r>
      <w:proofErr w:type="gramStart"/>
      <w:r w:rsidR="00BF4FD4" w:rsidRPr="00AC7332">
        <w:rPr>
          <w:rFonts w:cs="Arial"/>
          <w:b/>
          <w:bCs/>
          <w:kern w:val="28"/>
          <w:sz w:val="40"/>
          <w:szCs w:val="32"/>
          <w:lang w:val="en-US"/>
        </w:rPr>
        <w:t>year</w:t>
      </w:r>
      <w:proofErr w:type="gramEnd"/>
    </w:p>
    <w:p w14:paraId="49C307A1" w14:textId="77777777" w:rsidR="00AC7332" w:rsidRDefault="00AC7332" w:rsidP="00E86B69">
      <w:pPr>
        <w:autoSpaceDE w:val="0"/>
        <w:autoSpaceDN w:val="0"/>
        <w:adjustRightInd w:val="0"/>
        <w:spacing w:before="120" w:line="276" w:lineRule="auto"/>
        <w:rPr>
          <w:rFonts w:cs="Calibri"/>
          <w:b/>
          <w:bCs/>
          <w:color w:val="000000" w:themeColor="text1"/>
          <w:szCs w:val="20"/>
          <w:lang w:val="en-US"/>
        </w:rPr>
      </w:pPr>
    </w:p>
    <w:p w14:paraId="0ED7E047" w14:textId="325847CF" w:rsidR="00F22C2B" w:rsidRPr="00AC7332" w:rsidRDefault="00616D6A" w:rsidP="00E86B69">
      <w:pPr>
        <w:autoSpaceDE w:val="0"/>
        <w:autoSpaceDN w:val="0"/>
        <w:adjustRightInd w:val="0"/>
        <w:spacing w:before="120" w:line="276" w:lineRule="auto"/>
        <w:rPr>
          <w:rFonts w:cs="Calibri"/>
          <w:color w:val="000000" w:themeColor="text1"/>
          <w:szCs w:val="20"/>
          <w:lang w:val="en-US"/>
        </w:rPr>
      </w:pPr>
      <w:r w:rsidRPr="00AC7332">
        <w:rPr>
          <w:rFonts w:cs="Calibri"/>
          <w:b/>
          <w:bCs/>
          <w:color w:val="000000" w:themeColor="text1"/>
          <w:szCs w:val="20"/>
          <w:lang w:val="en-US"/>
        </w:rPr>
        <w:t>Pr</w:t>
      </w:r>
      <w:r w:rsidR="00F241D3" w:rsidRPr="00AC7332">
        <w:rPr>
          <w:rFonts w:cs="Calibri"/>
          <w:b/>
          <w:bCs/>
          <w:color w:val="000000" w:themeColor="text1"/>
          <w:szCs w:val="20"/>
          <w:lang w:val="en-US"/>
        </w:rPr>
        <w:t>a</w:t>
      </w:r>
      <w:r w:rsidR="00E86B69" w:rsidRPr="00AC7332">
        <w:rPr>
          <w:rFonts w:cs="Calibri"/>
          <w:b/>
          <w:bCs/>
          <w:color w:val="000000" w:themeColor="text1"/>
          <w:szCs w:val="20"/>
          <w:lang w:val="en-US"/>
        </w:rPr>
        <w:t>gue</w:t>
      </w:r>
      <w:r w:rsidR="00BD3D9F" w:rsidRPr="00AC7332">
        <w:rPr>
          <w:rFonts w:cs="Calibri"/>
          <w:b/>
          <w:bCs/>
          <w:color w:val="000000" w:themeColor="text1"/>
          <w:szCs w:val="20"/>
          <w:lang w:val="en-US"/>
        </w:rPr>
        <w:t xml:space="preserve"> (</w:t>
      </w:r>
      <w:r w:rsidR="00E86B69" w:rsidRPr="00AC7332">
        <w:rPr>
          <w:rFonts w:cs="Calibri"/>
          <w:b/>
          <w:bCs/>
          <w:color w:val="000000" w:themeColor="text1"/>
          <w:szCs w:val="20"/>
          <w:lang w:val="en-US"/>
        </w:rPr>
        <w:t xml:space="preserve">September 19, </w:t>
      </w:r>
      <w:r w:rsidR="00BD3D9F" w:rsidRPr="00AC7332">
        <w:rPr>
          <w:rFonts w:cs="Calibri"/>
          <w:b/>
          <w:bCs/>
          <w:color w:val="000000" w:themeColor="text1"/>
          <w:szCs w:val="20"/>
          <w:lang w:val="en-US"/>
        </w:rPr>
        <w:t>202</w:t>
      </w:r>
      <w:r w:rsidR="00946042" w:rsidRPr="00AC7332">
        <w:rPr>
          <w:rFonts w:cs="Calibri"/>
          <w:b/>
          <w:bCs/>
          <w:color w:val="000000" w:themeColor="text1"/>
          <w:szCs w:val="20"/>
          <w:lang w:val="en-US"/>
        </w:rPr>
        <w:t>3</w:t>
      </w:r>
      <w:r w:rsidR="00BD3D9F" w:rsidRPr="00AC7332">
        <w:rPr>
          <w:rFonts w:cs="Calibri"/>
          <w:b/>
          <w:bCs/>
          <w:color w:val="000000" w:themeColor="text1"/>
          <w:szCs w:val="20"/>
          <w:lang w:val="en-US"/>
        </w:rPr>
        <w:t>)</w:t>
      </w:r>
      <w:r w:rsidR="00BD3D9F" w:rsidRPr="00AC7332">
        <w:rPr>
          <w:rFonts w:cs="Calibri"/>
          <w:color w:val="000000" w:themeColor="text1"/>
          <w:szCs w:val="20"/>
          <w:lang w:val="en-US"/>
        </w:rPr>
        <w:t xml:space="preserve"> ―</w:t>
      </w:r>
      <w:r w:rsidR="005C5E6F" w:rsidRPr="00AC7332">
        <w:rPr>
          <w:rFonts w:cs="Calibri"/>
          <w:color w:val="000000" w:themeColor="text1"/>
          <w:szCs w:val="20"/>
          <w:lang w:val="en-US"/>
        </w:rPr>
        <w:t xml:space="preserve"> </w:t>
      </w:r>
      <w:r w:rsidR="00E86B69" w:rsidRPr="00AC7332">
        <w:rPr>
          <w:rFonts w:cs="Calibri"/>
          <w:color w:val="000000" w:themeColor="text1"/>
          <w:szCs w:val="20"/>
          <w:lang w:val="en-US"/>
        </w:rPr>
        <w:t>Colt CZ Group SE (“Colt CZ”, the “Group” or the “Company”) today announced its consolidated unaudited financial results for the first six months of 2023 ending June 30. Revenues in the second quarter of 2023 grew by 10</w:t>
      </w:r>
      <w:r w:rsidR="00F97733" w:rsidRPr="00AC7332">
        <w:rPr>
          <w:rFonts w:cs="Calibri"/>
          <w:color w:val="000000" w:themeColor="text1"/>
          <w:szCs w:val="20"/>
          <w:lang w:val="en-US"/>
        </w:rPr>
        <w:t>.</w:t>
      </w:r>
      <w:r w:rsidR="00E86B69" w:rsidRPr="00AC7332">
        <w:rPr>
          <w:rFonts w:cs="Calibri"/>
          <w:color w:val="000000" w:themeColor="text1"/>
          <w:szCs w:val="20"/>
          <w:lang w:val="en-US"/>
        </w:rPr>
        <w:t xml:space="preserve">1% </w:t>
      </w:r>
      <w:r w:rsidR="009F38A4" w:rsidRPr="00AC7332">
        <w:rPr>
          <w:rFonts w:cs="Calibri"/>
          <w:color w:val="000000" w:themeColor="text1"/>
          <w:szCs w:val="20"/>
          <w:lang w:val="en-US"/>
        </w:rPr>
        <w:t>y</w:t>
      </w:r>
      <w:r w:rsidR="00E86B69" w:rsidRPr="00AC7332">
        <w:rPr>
          <w:rFonts w:cs="Calibri"/>
          <w:color w:val="000000" w:themeColor="text1"/>
          <w:szCs w:val="20"/>
          <w:lang w:val="en-US"/>
        </w:rPr>
        <w:t>ear-on-year</w:t>
      </w:r>
      <w:r w:rsidR="00557CD2">
        <w:rPr>
          <w:rFonts w:cs="Calibri"/>
          <w:color w:val="000000" w:themeColor="text1"/>
          <w:szCs w:val="20"/>
          <w:lang w:val="en-US"/>
        </w:rPr>
        <w:t xml:space="preserve"> and</w:t>
      </w:r>
      <w:bookmarkStart w:id="0" w:name="_Hlk145941905"/>
      <w:r w:rsidR="00E86B69" w:rsidRPr="00AC7332">
        <w:rPr>
          <w:rFonts w:cs="Calibri"/>
          <w:color w:val="000000" w:themeColor="text1"/>
          <w:szCs w:val="20"/>
          <w:lang w:val="en-US"/>
        </w:rPr>
        <w:t xml:space="preserve"> by 27</w:t>
      </w:r>
      <w:r w:rsidR="00F97733" w:rsidRPr="00AC7332">
        <w:rPr>
          <w:rFonts w:cs="Calibri"/>
          <w:color w:val="000000" w:themeColor="text1"/>
          <w:szCs w:val="20"/>
          <w:lang w:val="en-US"/>
        </w:rPr>
        <w:t>.</w:t>
      </w:r>
      <w:r w:rsidR="00E86B69" w:rsidRPr="00AC7332">
        <w:rPr>
          <w:rFonts w:cs="Calibri"/>
          <w:color w:val="000000" w:themeColor="text1"/>
          <w:szCs w:val="20"/>
          <w:lang w:val="en-US"/>
        </w:rPr>
        <w:t>7% compared to the first quarter of 2023.</w:t>
      </w:r>
      <w:bookmarkEnd w:id="0"/>
      <w:r w:rsidR="00E86B69" w:rsidRPr="00AC7332">
        <w:rPr>
          <w:rFonts w:cs="Calibri"/>
          <w:color w:val="000000" w:themeColor="text1"/>
          <w:szCs w:val="20"/>
          <w:lang w:val="en-US"/>
        </w:rPr>
        <w:t xml:space="preserve"> </w:t>
      </w:r>
    </w:p>
    <w:p w14:paraId="0C6A9706" w14:textId="1D3503B8" w:rsidR="00E86B69" w:rsidRPr="00AC7332" w:rsidRDefault="00E86B69" w:rsidP="00E86B69">
      <w:pPr>
        <w:autoSpaceDE w:val="0"/>
        <w:autoSpaceDN w:val="0"/>
        <w:adjustRightInd w:val="0"/>
        <w:spacing w:before="120" w:line="276" w:lineRule="auto"/>
        <w:rPr>
          <w:rFonts w:cs="Calibri"/>
          <w:b/>
          <w:bCs/>
          <w:color w:val="000000" w:themeColor="text1"/>
          <w:sz w:val="22"/>
          <w:szCs w:val="22"/>
          <w:lang w:val="en-US"/>
        </w:rPr>
      </w:pPr>
      <w:r w:rsidRPr="00AC7332">
        <w:rPr>
          <w:rFonts w:cs="Calibri"/>
          <w:b/>
          <w:bCs/>
          <w:color w:val="000000" w:themeColor="text1"/>
          <w:sz w:val="22"/>
          <w:szCs w:val="22"/>
          <w:lang w:val="en-US"/>
        </w:rPr>
        <w:t>Key financial indicators for the first half of 202</w:t>
      </w:r>
      <w:r w:rsidR="00A47A46">
        <w:rPr>
          <w:rFonts w:cs="Calibri"/>
          <w:b/>
          <w:bCs/>
          <w:color w:val="000000" w:themeColor="text1"/>
          <w:sz w:val="22"/>
          <w:szCs w:val="22"/>
          <w:lang w:val="en-US"/>
        </w:rPr>
        <w:t>3</w:t>
      </w:r>
      <w:r w:rsidRPr="00AC7332">
        <w:rPr>
          <w:rFonts w:cs="Calibri"/>
          <w:b/>
          <w:bCs/>
          <w:color w:val="000000" w:themeColor="text1"/>
          <w:sz w:val="22"/>
          <w:szCs w:val="22"/>
          <w:lang w:val="en-US"/>
        </w:rPr>
        <w:t>:</w:t>
      </w:r>
    </w:p>
    <w:p w14:paraId="79108FE4" w14:textId="64F11AB2" w:rsidR="00E86B69" w:rsidRPr="00AC7332" w:rsidRDefault="00E86B69" w:rsidP="00E86B69">
      <w:pPr>
        <w:pStyle w:val="Odrazka1"/>
        <w:rPr>
          <w:lang w:val="en-US"/>
        </w:rPr>
      </w:pPr>
      <w:r w:rsidRPr="00AC7332">
        <w:rPr>
          <w:lang w:val="en-US"/>
        </w:rPr>
        <w:t>Colt CZ revenues reached CZK 6.9 billion in the first half of 2023, which is a 2.7% YoY decrease. The main reason was the weaker Q1 2023 which was affected by higher seasonality in the M/LE segment, impacts of a strong Czech koruna on FX translation, and the decline of some product segments in the US commercial market. Revenues in the second quarter of 2023 grew by 27</w:t>
      </w:r>
      <w:r w:rsidR="004A300C" w:rsidRPr="00AC7332">
        <w:rPr>
          <w:lang w:val="en-US"/>
        </w:rPr>
        <w:t>.</w:t>
      </w:r>
      <w:r w:rsidRPr="00AC7332">
        <w:rPr>
          <w:lang w:val="en-US"/>
        </w:rPr>
        <w:t>7% compared to the first quarter of 2023 and by 10</w:t>
      </w:r>
      <w:r w:rsidR="00F97733" w:rsidRPr="00AC7332">
        <w:rPr>
          <w:lang w:val="en-US"/>
        </w:rPr>
        <w:t>.</w:t>
      </w:r>
      <w:r w:rsidRPr="00AC7332">
        <w:rPr>
          <w:lang w:val="en-US"/>
        </w:rPr>
        <w:t>1% in YoY comparison.</w:t>
      </w:r>
    </w:p>
    <w:p w14:paraId="1A418F44" w14:textId="2529FC6E" w:rsidR="00E86B69" w:rsidRPr="00AC7332" w:rsidRDefault="00E86B69" w:rsidP="00E86B69">
      <w:pPr>
        <w:pStyle w:val="Odrazka1"/>
        <w:rPr>
          <w:lang w:val="en-US"/>
        </w:rPr>
      </w:pPr>
      <w:r w:rsidRPr="00AC7332">
        <w:rPr>
          <w:lang w:val="en-US"/>
        </w:rPr>
        <w:t xml:space="preserve">EBITDA indicator adjusted for extraordinary items </w:t>
      </w:r>
      <w:r w:rsidR="00C94E04" w:rsidRPr="00AC7332">
        <w:rPr>
          <w:lang w:val="en-US"/>
        </w:rPr>
        <w:t>de</w:t>
      </w:r>
      <w:r w:rsidRPr="00AC7332">
        <w:rPr>
          <w:lang w:val="en-US"/>
        </w:rPr>
        <w:t xml:space="preserve">creased by </w:t>
      </w:r>
      <w:r w:rsidR="00C94E04" w:rsidRPr="00AC7332">
        <w:rPr>
          <w:lang w:val="en-US"/>
        </w:rPr>
        <w:t>18</w:t>
      </w:r>
      <w:r w:rsidRPr="00AC7332">
        <w:rPr>
          <w:lang w:val="en-US"/>
        </w:rPr>
        <w:t>.</w:t>
      </w:r>
      <w:r w:rsidR="00C94E04" w:rsidRPr="00AC7332">
        <w:rPr>
          <w:lang w:val="en-US"/>
        </w:rPr>
        <w:t>4</w:t>
      </w:r>
      <w:r w:rsidRPr="00AC7332">
        <w:rPr>
          <w:lang w:val="en-US"/>
        </w:rPr>
        <w:t>% to CZK 1,</w:t>
      </w:r>
      <w:r w:rsidR="00C94E04" w:rsidRPr="00AC7332">
        <w:rPr>
          <w:lang w:val="en-US"/>
        </w:rPr>
        <w:t>464</w:t>
      </w:r>
      <w:r w:rsidRPr="00AC7332">
        <w:rPr>
          <w:lang w:val="en-US"/>
        </w:rPr>
        <w:t>.</w:t>
      </w:r>
      <w:r w:rsidR="00C94E04" w:rsidRPr="00AC7332">
        <w:rPr>
          <w:lang w:val="en-US"/>
        </w:rPr>
        <w:t>2</w:t>
      </w:r>
      <w:r w:rsidRPr="00AC7332">
        <w:rPr>
          <w:lang w:val="en-US"/>
        </w:rPr>
        <w:t xml:space="preserve"> million in the first six months of the year.</w:t>
      </w:r>
      <w:r w:rsidRPr="00AC7332">
        <w:rPr>
          <w:rStyle w:val="Znakapoznpodarou"/>
          <w:lang w:val="en-US"/>
        </w:rPr>
        <w:footnoteReference w:id="2"/>
      </w:r>
    </w:p>
    <w:p w14:paraId="7FBC4F6B" w14:textId="040526DB" w:rsidR="00C94E04" w:rsidRPr="00AC7332" w:rsidRDefault="00224C21" w:rsidP="00E86B69">
      <w:pPr>
        <w:pStyle w:val="Odrazka1"/>
        <w:rPr>
          <w:lang w:val="en-US"/>
        </w:rPr>
      </w:pPr>
      <w:r w:rsidRPr="00AC7332">
        <w:rPr>
          <w:lang w:val="en-US"/>
        </w:rPr>
        <w:t>Adjusted p</w:t>
      </w:r>
      <w:r w:rsidR="00C94E04" w:rsidRPr="00AC7332">
        <w:rPr>
          <w:lang w:val="en-US"/>
        </w:rPr>
        <w:t>rofit reached CZK 1.19 billion in the first half of 2023, which is a 1.3% YoY increase.</w:t>
      </w:r>
      <w:r w:rsidR="00F97733" w:rsidRPr="00AC7332">
        <w:rPr>
          <w:rStyle w:val="Znakapoznpodarou"/>
          <w:lang w:val="en-US"/>
        </w:rPr>
        <w:footnoteReference w:id="3"/>
      </w:r>
    </w:p>
    <w:p w14:paraId="1787B7E9" w14:textId="54B051D6" w:rsidR="00C94E04" w:rsidRPr="00AC7332" w:rsidRDefault="00C94E04" w:rsidP="00E86B69">
      <w:pPr>
        <w:pStyle w:val="Odrazka1"/>
        <w:rPr>
          <w:lang w:val="en-US"/>
        </w:rPr>
      </w:pPr>
      <w:r w:rsidRPr="00AC7332">
        <w:rPr>
          <w:lang w:val="en-US"/>
        </w:rPr>
        <w:t xml:space="preserve">The number of firearms </w:t>
      </w:r>
      <w:r w:rsidR="005719F6">
        <w:rPr>
          <w:lang w:val="en-US"/>
        </w:rPr>
        <w:t xml:space="preserve">sold </w:t>
      </w:r>
      <w:r w:rsidRPr="00AC7332">
        <w:rPr>
          <w:lang w:val="en-US"/>
        </w:rPr>
        <w:t xml:space="preserve">decreased in the first half of the year in comparison to the first six months of 2022 by 13.3% to 314,564 sold units. </w:t>
      </w:r>
      <w:r w:rsidR="000F6F22" w:rsidRPr="00AC7332">
        <w:rPr>
          <w:lang w:val="en-US"/>
        </w:rPr>
        <w:t>Short guns</w:t>
      </w:r>
      <w:r w:rsidRPr="00AC7332">
        <w:rPr>
          <w:lang w:val="en-US"/>
        </w:rPr>
        <w:t xml:space="preserve"> accounted for 62.5% and long </w:t>
      </w:r>
      <w:r w:rsidR="001906CD" w:rsidRPr="00AC7332">
        <w:rPr>
          <w:lang w:val="en-US"/>
        </w:rPr>
        <w:t>guns for</w:t>
      </w:r>
      <w:r w:rsidRPr="00AC7332">
        <w:rPr>
          <w:lang w:val="en-US"/>
        </w:rPr>
        <w:t xml:space="preserve"> 37.5% of sold units.</w:t>
      </w:r>
    </w:p>
    <w:p w14:paraId="1F019A0A" w14:textId="54A4A93B" w:rsidR="00C94E04" w:rsidRPr="00AC7332" w:rsidRDefault="00C94E04" w:rsidP="00E86B69">
      <w:pPr>
        <w:pStyle w:val="Odrazka1"/>
        <w:rPr>
          <w:lang w:val="en-US"/>
        </w:rPr>
      </w:pPr>
      <w:r w:rsidRPr="00AC7332">
        <w:rPr>
          <w:lang w:val="en-US"/>
        </w:rPr>
        <w:t xml:space="preserve">In the first half of this year, revenues in the USA accounted for 46.8% of total revenues; 20.0% </w:t>
      </w:r>
      <w:r w:rsidR="00B00CD5">
        <w:rPr>
          <w:lang w:val="en-US"/>
        </w:rPr>
        <w:t xml:space="preserve">of </w:t>
      </w:r>
      <w:r w:rsidRPr="00AC7332">
        <w:rPr>
          <w:lang w:val="en-US"/>
        </w:rPr>
        <w:t>revenues were generated in the Czech Republic. Canada accounted for 14.2% of total revenues, European market (excluding the Czech Republic) for 10.7%, Asia for 4.0%, Africa for 1.3%, and the rest of the world for 3.0%</w:t>
      </w:r>
      <w:r w:rsidR="00E45062">
        <w:rPr>
          <w:lang w:val="en-US"/>
        </w:rPr>
        <w:t xml:space="preserve"> of total revenues.</w:t>
      </w:r>
    </w:p>
    <w:p w14:paraId="60AFE19E" w14:textId="09434225" w:rsidR="00C94E04" w:rsidRPr="00AC7332" w:rsidRDefault="00B52FB6" w:rsidP="00B52FB6">
      <w:pPr>
        <w:rPr>
          <w:lang w:val="en-US"/>
        </w:rPr>
      </w:pPr>
      <w:r w:rsidRPr="00AC7332">
        <w:rPr>
          <w:i/>
          <w:iCs/>
          <w:lang w:val="en-US"/>
        </w:rPr>
        <w:t xml:space="preserve">“With the first half of 2023 behind us, I am very pleased to announce that the Group’s business performance significantly improved in the second quarter, compared to the first quarter of this year and the same period in 2022. Financial results continue to reflect the increasing seasonality of our business related to </w:t>
      </w:r>
      <w:r w:rsidR="00060657" w:rsidRPr="00AC7332">
        <w:rPr>
          <w:i/>
          <w:iCs/>
          <w:lang w:val="en-US"/>
        </w:rPr>
        <w:t xml:space="preserve">the </w:t>
      </w:r>
      <w:r w:rsidRPr="00AC7332">
        <w:rPr>
          <w:i/>
          <w:iCs/>
          <w:lang w:val="en-US"/>
        </w:rPr>
        <w:t>growth in the share of sales within the military and law enforcement segment,”</w:t>
      </w:r>
      <w:r w:rsidRPr="00AC7332">
        <w:rPr>
          <w:lang w:val="en-US"/>
        </w:rPr>
        <w:t xml:space="preserve"> said </w:t>
      </w:r>
      <w:r w:rsidRPr="00AC7332">
        <w:rPr>
          <w:b/>
          <w:bCs/>
          <w:lang w:val="en-US"/>
        </w:rPr>
        <w:t>Jan Drahota</w:t>
      </w:r>
      <w:r w:rsidR="002E671A" w:rsidRPr="00AC7332">
        <w:rPr>
          <w:b/>
          <w:bCs/>
          <w:lang w:val="en-US"/>
        </w:rPr>
        <w:t>,</w:t>
      </w:r>
      <w:r w:rsidRPr="00AC7332">
        <w:rPr>
          <w:b/>
          <w:bCs/>
          <w:lang w:val="en-US"/>
        </w:rPr>
        <w:t xml:space="preserve"> CEO and Chairman of the Board of Directors of Colt CZ Group. </w:t>
      </w:r>
      <w:r w:rsidR="009E407A" w:rsidRPr="00AC7332">
        <w:rPr>
          <w:i/>
          <w:iCs/>
          <w:lang w:val="en-US"/>
        </w:rPr>
        <w:t xml:space="preserve">“I would like </w:t>
      </w:r>
      <w:r w:rsidR="002E671A" w:rsidRPr="00AC7332">
        <w:rPr>
          <w:i/>
          <w:iCs/>
          <w:lang w:val="en-US"/>
        </w:rPr>
        <w:t xml:space="preserve">to </w:t>
      </w:r>
      <w:r w:rsidR="009E407A" w:rsidRPr="00AC7332">
        <w:rPr>
          <w:i/>
          <w:iCs/>
          <w:lang w:val="en-US"/>
        </w:rPr>
        <w:t xml:space="preserve">highlight the acquisition of swissAA Holding, a </w:t>
      </w:r>
      <w:r w:rsidR="00F97733" w:rsidRPr="00AC7332">
        <w:rPr>
          <w:i/>
          <w:iCs/>
          <w:lang w:val="en-US"/>
        </w:rPr>
        <w:t xml:space="preserve">referential </w:t>
      </w:r>
      <w:r w:rsidR="009F38A4" w:rsidRPr="00AC7332">
        <w:rPr>
          <w:i/>
          <w:iCs/>
          <w:lang w:val="en-US"/>
        </w:rPr>
        <w:t>and highest quality ammunition producer</w:t>
      </w:r>
      <w:r w:rsidR="00F97733" w:rsidRPr="00AC7332">
        <w:rPr>
          <w:i/>
          <w:iCs/>
          <w:lang w:val="en-US"/>
        </w:rPr>
        <w:t xml:space="preserve"> </w:t>
      </w:r>
      <w:r w:rsidR="009E407A" w:rsidRPr="00AC7332">
        <w:rPr>
          <w:i/>
          <w:iCs/>
          <w:lang w:val="en-US"/>
        </w:rPr>
        <w:t xml:space="preserve">based in Switzerland, which is </w:t>
      </w:r>
      <w:r w:rsidR="00AC7332" w:rsidRPr="00AC7332">
        <w:rPr>
          <w:i/>
          <w:iCs/>
          <w:lang w:val="en-US"/>
        </w:rPr>
        <w:t xml:space="preserve">a </w:t>
      </w:r>
      <w:r w:rsidR="00F97733" w:rsidRPr="00AC7332">
        <w:rPr>
          <w:i/>
          <w:iCs/>
          <w:lang w:val="en-US"/>
        </w:rPr>
        <w:t>reliable and long-term</w:t>
      </w:r>
      <w:r w:rsidR="009E407A" w:rsidRPr="00AC7332">
        <w:rPr>
          <w:i/>
          <w:iCs/>
          <w:lang w:val="en-US"/>
        </w:rPr>
        <w:t xml:space="preserve"> partner of the Swiss, Belgian, German, and other </w:t>
      </w:r>
      <w:proofErr w:type="gramStart"/>
      <w:r w:rsidR="009E407A" w:rsidRPr="00AC7332">
        <w:rPr>
          <w:i/>
          <w:iCs/>
          <w:lang w:val="en-US"/>
        </w:rPr>
        <w:t>military</w:t>
      </w:r>
      <w:proofErr w:type="gramEnd"/>
      <w:r w:rsidR="009E407A" w:rsidRPr="00AC7332">
        <w:rPr>
          <w:i/>
          <w:iCs/>
          <w:lang w:val="en-US"/>
        </w:rPr>
        <w:t xml:space="preserve"> and law enforcement </w:t>
      </w:r>
      <w:r w:rsidR="009E407A" w:rsidRPr="00AC7332">
        <w:rPr>
          <w:i/>
          <w:iCs/>
          <w:lang w:val="en-US"/>
        </w:rPr>
        <w:lastRenderedPageBreak/>
        <w:t xml:space="preserve">customers. This acquisition is part of our long-term </w:t>
      </w:r>
      <w:r w:rsidR="00AC7332" w:rsidRPr="00AC7332">
        <w:rPr>
          <w:i/>
          <w:iCs/>
          <w:lang w:val="en-US"/>
        </w:rPr>
        <w:t xml:space="preserve">growth </w:t>
      </w:r>
      <w:r w:rsidR="009E407A" w:rsidRPr="00AC7332">
        <w:rPr>
          <w:i/>
          <w:iCs/>
          <w:lang w:val="en-US"/>
        </w:rPr>
        <w:t>strategy, with ammunition being a natural match to our core products</w:t>
      </w:r>
      <w:r w:rsidR="00F97733" w:rsidRPr="00AC7332">
        <w:rPr>
          <w:i/>
          <w:iCs/>
          <w:lang w:val="en-US"/>
        </w:rPr>
        <w:t xml:space="preserve">,” </w:t>
      </w:r>
      <w:r w:rsidR="00BF4FD4" w:rsidRPr="00AC7332">
        <w:rPr>
          <w:b/>
          <w:bCs/>
          <w:lang w:val="en-US"/>
        </w:rPr>
        <w:t>Jan Drahota</w:t>
      </w:r>
      <w:r w:rsidR="00BF4FD4" w:rsidRPr="00AC7332">
        <w:rPr>
          <w:lang w:val="en-US"/>
        </w:rPr>
        <w:t xml:space="preserve"> clarified.</w:t>
      </w:r>
    </w:p>
    <w:p w14:paraId="525B31E3" w14:textId="744D41D5" w:rsidR="00E86B69" w:rsidRPr="00AC7332" w:rsidRDefault="009E407A" w:rsidP="009E407A">
      <w:pPr>
        <w:rPr>
          <w:lang w:val="en-US"/>
        </w:rPr>
      </w:pPr>
      <w:r w:rsidRPr="00AC7332">
        <w:rPr>
          <w:lang w:val="en-US"/>
        </w:rPr>
        <w:t>Revenues generated in the United States for</w:t>
      </w:r>
      <w:r w:rsidR="003158D5">
        <w:rPr>
          <w:lang w:val="en-US"/>
        </w:rPr>
        <w:t xml:space="preserve"> </w:t>
      </w:r>
      <w:r w:rsidR="001D3CBB">
        <w:rPr>
          <w:lang w:val="en-US"/>
        </w:rPr>
        <w:t xml:space="preserve">the </w:t>
      </w:r>
      <w:r w:rsidRPr="00AC7332">
        <w:rPr>
          <w:lang w:val="en-US"/>
        </w:rPr>
        <w:t xml:space="preserve">six months ended 30 June 2023 decreased year-on-year by 21.2% to CZK 3,218.8 million, mainly </w:t>
      </w:r>
      <w:proofErr w:type="gramStart"/>
      <w:r w:rsidRPr="00AC7332">
        <w:rPr>
          <w:lang w:val="en-US"/>
        </w:rPr>
        <w:t>as a result of</w:t>
      </w:r>
      <w:proofErr w:type="gramEnd"/>
      <w:r w:rsidRPr="00AC7332">
        <w:rPr>
          <w:lang w:val="en-US"/>
        </w:rPr>
        <w:t xml:space="preserve"> the decline of some product segments in the US commercial market</w:t>
      </w:r>
      <w:r w:rsidR="00431180" w:rsidRPr="00AC7332">
        <w:rPr>
          <w:lang w:val="en-US"/>
        </w:rPr>
        <w:t>.</w:t>
      </w:r>
      <w:r w:rsidRPr="00AC7332">
        <w:rPr>
          <w:lang w:val="en-US"/>
        </w:rPr>
        <w:t xml:space="preserve"> </w:t>
      </w:r>
      <w:r w:rsidR="00431180" w:rsidRPr="00AC7332">
        <w:rPr>
          <w:lang w:val="en-US"/>
        </w:rPr>
        <w:t xml:space="preserve">Nevertheless, </w:t>
      </w:r>
      <w:r w:rsidRPr="00AC7332">
        <w:rPr>
          <w:lang w:val="en-US"/>
        </w:rPr>
        <w:t xml:space="preserve">sales </w:t>
      </w:r>
      <w:r w:rsidR="007D6C00" w:rsidRPr="00AC7332">
        <w:rPr>
          <w:lang w:val="en-US"/>
        </w:rPr>
        <w:t xml:space="preserve">in the USA </w:t>
      </w:r>
      <w:r w:rsidRPr="00AC7332">
        <w:rPr>
          <w:lang w:val="en-US"/>
        </w:rPr>
        <w:t xml:space="preserve">doubled </w:t>
      </w:r>
      <w:r w:rsidR="00E030DC" w:rsidRPr="00AC7332">
        <w:rPr>
          <w:lang w:val="en-US"/>
        </w:rPr>
        <w:t>from</w:t>
      </w:r>
      <w:r w:rsidRPr="00AC7332">
        <w:rPr>
          <w:lang w:val="en-US"/>
        </w:rPr>
        <w:t xml:space="preserve"> the first to second quarter. Revenues generated in Canada in the first half of 2023 </w:t>
      </w:r>
      <w:r w:rsidR="00AC7332" w:rsidRPr="00AC7332">
        <w:rPr>
          <w:lang w:val="en-US"/>
        </w:rPr>
        <w:t>totaled</w:t>
      </w:r>
      <w:r w:rsidRPr="00AC7332">
        <w:rPr>
          <w:lang w:val="en-US"/>
        </w:rPr>
        <w:t xml:space="preserve"> CZK 970.9 million, which represents a 94.5% y-o-y growth. A significant </w:t>
      </w:r>
      <w:r w:rsidR="001863D6" w:rsidRPr="00AC7332">
        <w:rPr>
          <w:lang w:val="en-US"/>
        </w:rPr>
        <w:t>part</w:t>
      </w:r>
      <w:r w:rsidRPr="00AC7332">
        <w:rPr>
          <w:lang w:val="en-US"/>
        </w:rPr>
        <w:t xml:space="preserve"> of revenue</w:t>
      </w:r>
      <w:r w:rsidR="009829BC" w:rsidRPr="00AC7332">
        <w:rPr>
          <w:lang w:val="en-US"/>
        </w:rPr>
        <w:t>s</w:t>
      </w:r>
      <w:r w:rsidRPr="00AC7332">
        <w:rPr>
          <w:lang w:val="en-US"/>
        </w:rPr>
        <w:t xml:space="preserve"> in Canada is related to </w:t>
      </w:r>
      <w:r w:rsidR="00F055E0" w:rsidRPr="00AC7332">
        <w:rPr>
          <w:lang w:val="en-US"/>
        </w:rPr>
        <w:t>the deliveries</w:t>
      </w:r>
      <w:r w:rsidRPr="00AC7332">
        <w:rPr>
          <w:lang w:val="en-US"/>
        </w:rPr>
        <w:t xml:space="preserve"> </w:t>
      </w:r>
      <w:r w:rsidR="00F055E0" w:rsidRPr="00AC7332">
        <w:rPr>
          <w:lang w:val="en-US"/>
        </w:rPr>
        <w:t xml:space="preserve">to </w:t>
      </w:r>
      <w:r w:rsidRPr="00AC7332">
        <w:rPr>
          <w:lang w:val="en-US"/>
        </w:rPr>
        <w:t xml:space="preserve">Ukraine. Revenues generated in Europe (excluding the Czech Republic) slightly declined year-on-year by 13.5% to CZK 733.9 million for </w:t>
      </w:r>
      <w:r w:rsidR="00581F37" w:rsidRPr="00AC7332">
        <w:rPr>
          <w:lang w:val="en-US"/>
        </w:rPr>
        <w:t xml:space="preserve">the </w:t>
      </w:r>
      <w:r w:rsidRPr="00AC7332">
        <w:rPr>
          <w:lang w:val="en-US"/>
        </w:rPr>
        <w:t xml:space="preserve">six months ended June </w:t>
      </w:r>
      <w:r w:rsidR="0091013C">
        <w:rPr>
          <w:lang w:val="en-US"/>
        </w:rPr>
        <w:t xml:space="preserve">30, </w:t>
      </w:r>
      <w:r w:rsidRPr="00AC7332">
        <w:rPr>
          <w:lang w:val="en-US"/>
        </w:rPr>
        <w:t>2023.</w:t>
      </w:r>
    </w:p>
    <w:p w14:paraId="5A3664A7" w14:textId="66541830" w:rsidR="00C618B5" w:rsidRPr="00AC7332" w:rsidRDefault="00C618B5" w:rsidP="00C618B5">
      <w:pPr>
        <w:rPr>
          <w:lang w:val="en-US"/>
        </w:rPr>
      </w:pPr>
      <w:r w:rsidRPr="00AC7332">
        <w:rPr>
          <w:lang w:val="en-US"/>
        </w:rPr>
        <w:t xml:space="preserve">Revenues generated in Africa increased by 157.5% to CZK 89.6 million for </w:t>
      </w:r>
      <w:r w:rsidR="006C3DD8">
        <w:rPr>
          <w:lang w:val="en-US"/>
        </w:rPr>
        <w:t xml:space="preserve">the </w:t>
      </w:r>
      <w:r w:rsidRPr="00AC7332">
        <w:rPr>
          <w:lang w:val="en-US"/>
        </w:rPr>
        <w:t xml:space="preserve">six months ended June </w:t>
      </w:r>
      <w:r w:rsidR="006C3DD8">
        <w:rPr>
          <w:lang w:val="en-US"/>
        </w:rPr>
        <w:t xml:space="preserve">30, </w:t>
      </w:r>
      <w:r w:rsidRPr="00AC7332">
        <w:rPr>
          <w:lang w:val="en-US"/>
        </w:rPr>
        <w:t>2023</w:t>
      </w:r>
      <w:r w:rsidR="0091013C">
        <w:rPr>
          <w:lang w:val="en-US"/>
        </w:rPr>
        <w:t xml:space="preserve">, </w:t>
      </w:r>
      <w:r w:rsidRPr="00AC7332">
        <w:rPr>
          <w:lang w:val="en-US"/>
        </w:rPr>
        <w:t xml:space="preserve">due to the large one-off sales to the military and law enforcement sector. Revenues generated in Asia decreased year-on-year by 65.6% to CZK 272.2 million for </w:t>
      </w:r>
      <w:r w:rsidR="00581F37" w:rsidRPr="00AC7332">
        <w:rPr>
          <w:lang w:val="en-US"/>
        </w:rPr>
        <w:t xml:space="preserve">the </w:t>
      </w:r>
      <w:r w:rsidRPr="00AC7332">
        <w:rPr>
          <w:lang w:val="en-US"/>
        </w:rPr>
        <w:t>six months ended June</w:t>
      </w:r>
      <w:r w:rsidR="00581F37" w:rsidRPr="00AC7332">
        <w:rPr>
          <w:lang w:val="en-US"/>
        </w:rPr>
        <w:t xml:space="preserve"> 30,</w:t>
      </w:r>
      <w:r w:rsidRPr="00AC7332">
        <w:rPr>
          <w:lang w:val="en-US"/>
        </w:rPr>
        <w:t xml:space="preserve"> </w:t>
      </w:r>
      <w:r w:rsidR="0091013C" w:rsidRPr="00AC7332">
        <w:rPr>
          <w:lang w:val="en-US"/>
        </w:rPr>
        <w:t>2023,</w:t>
      </w:r>
      <w:r w:rsidRPr="00AC7332">
        <w:rPr>
          <w:lang w:val="en-US"/>
        </w:rPr>
        <w:t xml:space="preserve"> </w:t>
      </w:r>
      <w:r w:rsidR="00BE2569" w:rsidRPr="00AC7332">
        <w:rPr>
          <w:lang w:val="en-US"/>
        </w:rPr>
        <w:t xml:space="preserve">due to </w:t>
      </w:r>
      <w:r w:rsidRPr="00AC7332">
        <w:rPr>
          <w:lang w:val="en-US"/>
        </w:rPr>
        <w:t>seasonal</w:t>
      </w:r>
      <w:r w:rsidR="00BE2569" w:rsidRPr="00AC7332">
        <w:rPr>
          <w:lang w:val="en-US"/>
        </w:rPr>
        <w:t>ity</w:t>
      </w:r>
      <w:r w:rsidR="002D715E" w:rsidRPr="00AC7332">
        <w:rPr>
          <w:lang w:val="en-US"/>
        </w:rPr>
        <w:t xml:space="preserve"> of</w:t>
      </w:r>
      <w:r w:rsidRPr="00AC7332">
        <w:rPr>
          <w:lang w:val="en-US"/>
        </w:rPr>
        <w:t xml:space="preserve"> </w:t>
      </w:r>
      <w:r w:rsidR="00AC7332">
        <w:rPr>
          <w:lang w:val="en-US"/>
        </w:rPr>
        <w:t xml:space="preserve">the </w:t>
      </w:r>
      <w:r w:rsidRPr="00AC7332">
        <w:rPr>
          <w:lang w:val="en-US"/>
        </w:rPr>
        <w:t>deliveries to the military and law enforcement sector.</w:t>
      </w:r>
    </w:p>
    <w:p w14:paraId="23AAE1AB" w14:textId="293D932F" w:rsidR="00C618B5" w:rsidRPr="00AC7332" w:rsidRDefault="00C618B5" w:rsidP="00C618B5">
      <w:pPr>
        <w:rPr>
          <w:lang w:val="en-US"/>
        </w:rPr>
      </w:pPr>
      <w:r w:rsidRPr="00AC7332">
        <w:rPr>
          <w:lang w:val="en-US"/>
        </w:rPr>
        <w:t>The Group</w:t>
      </w:r>
      <w:r w:rsidR="00AC7332">
        <w:rPr>
          <w:lang w:val="en-US"/>
        </w:rPr>
        <w:t>’</w:t>
      </w:r>
      <w:r w:rsidRPr="00AC7332">
        <w:rPr>
          <w:lang w:val="en-US"/>
        </w:rPr>
        <w:t xml:space="preserve">s financial results for the first half of 2023 correspond to scenarios that the Company indicated in March of this year when publishing preliminary full-year results. Sales in the first half of 2023 were affected by the higher seasonality of sales to the M/LE segment, impact of FX translation into CZK and a slowdown in the most important commercial market for the Group </w:t>
      </w:r>
      <w:r w:rsidR="003158D5">
        <w:rPr>
          <w:lang w:val="en-US"/>
        </w:rPr>
        <w:t>–</w:t>
      </w:r>
      <w:r w:rsidRPr="00AC7332">
        <w:rPr>
          <w:lang w:val="en-US"/>
        </w:rPr>
        <w:t xml:space="preserve"> the United States of America. Lower demand in the USA affected sales of CZ products. The Group responded to fluctuations in demand by adjusting the production cycle and product mix structure, as well as optimizing the headcount and other measures, especially in the Czech Republic. At the same time, the Group signed several significant contracts in the M/LE segment both in Europe and overseas, which will materialize in the second half of 2023 on top of the Group’s planned budget.</w:t>
      </w:r>
    </w:p>
    <w:p w14:paraId="7929F0C9" w14:textId="32F0FD50" w:rsidR="00C618B5" w:rsidRPr="00AC7332" w:rsidRDefault="00C618B5" w:rsidP="00C618B5">
      <w:pPr>
        <w:rPr>
          <w:lang w:val="en-US"/>
        </w:rPr>
      </w:pPr>
      <w:r w:rsidRPr="00AC7332">
        <w:rPr>
          <w:lang w:val="en-US"/>
        </w:rPr>
        <w:t xml:space="preserve">The management of the Company expects that the total revenues in 2023 could reach the amount of </w:t>
      </w:r>
      <w:r w:rsidRPr="00AC7332">
        <w:rPr>
          <w:b/>
          <w:bCs/>
          <w:lang w:val="en-US"/>
        </w:rPr>
        <w:t>CZK 16.0–16.4 billion</w:t>
      </w:r>
      <w:r w:rsidRPr="00AC7332">
        <w:rPr>
          <w:lang w:val="en-US"/>
        </w:rPr>
        <w:t>, which represents YoY growth of 9.7%–</w:t>
      </w:r>
      <w:r w:rsidR="00F97733" w:rsidRPr="00AC7332">
        <w:rPr>
          <w:lang w:val="en-US"/>
        </w:rPr>
        <w:t>12.4</w:t>
      </w:r>
      <w:r w:rsidRPr="00AC7332">
        <w:rPr>
          <w:lang w:val="en-US"/>
        </w:rPr>
        <w:t>% compared to the realized consolidated revenues in 202</w:t>
      </w:r>
      <w:r w:rsidR="00F97733" w:rsidRPr="00AC7332">
        <w:rPr>
          <w:lang w:val="en-US"/>
        </w:rPr>
        <w:t>2</w:t>
      </w:r>
      <w:r w:rsidRPr="00AC7332">
        <w:rPr>
          <w:lang w:val="en-US"/>
        </w:rPr>
        <w:t>.</w:t>
      </w:r>
      <w:r w:rsidR="00F97733" w:rsidRPr="00AC7332">
        <w:rPr>
          <w:lang w:val="en-US"/>
        </w:rPr>
        <w:t xml:space="preserve"> The expected amount of EBITDA may reach </w:t>
      </w:r>
      <w:r w:rsidR="00F97733" w:rsidRPr="00AC7332">
        <w:rPr>
          <w:b/>
          <w:bCs/>
          <w:lang w:val="en-US"/>
        </w:rPr>
        <w:t>CZK 3.2–3.4 billion</w:t>
      </w:r>
      <w:r w:rsidR="00F97733" w:rsidRPr="00AC7332">
        <w:rPr>
          <w:lang w:val="en-US"/>
        </w:rPr>
        <w:t xml:space="preserve"> in 2023, representing a 1% </w:t>
      </w:r>
      <w:r w:rsidR="009F38A4" w:rsidRPr="00AC7332">
        <w:rPr>
          <w:lang w:val="en-US"/>
        </w:rPr>
        <w:t>y</w:t>
      </w:r>
      <w:r w:rsidR="00BF4FD4" w:rsidRPr="00AC7332">
        <w:rPr>
          <w:lang w:val="en-US"/>
        </w:rPr>
        <w:t>ear</w:t>
      </w:r>
      <w:r w:rsidR="00F97733" w:rsidRPr="00AC7332">
        <w:rPr>
          <w:lang w:val="en-US"/>
        </w:rPr>
        <w:t>-on-</w:t>
      </w:r>
      <w:r w:rsidR="009F38A4" w:rsidRPr="00AC7332">
        <w:rPr>
          <w:lang w:val="en-US"/>
        </w:rPr>
        <w:t>y</w:t>
      </w:r>
      <w:r w:rsidR="00F97733" w:rsidRPr="00AC7332">
        <w:rPr>
          <w:lang w:val="en-US"/>
        </w:rPr>
        <w:t>ear increase at the high end compared to the adjusted consolidated EBITDA achieved in 2022.</w:t>
      </w:r>
    </w:p>
    <w:p w14:paraId="138DFD96" w14:textId="77777777" w:rsidR="00AC7332" w:rsidRDefault="00AC7332" w:rsidP="00F97733">
      <w:pPr>
        <w:rPr>
          <w:b/>
          <w:bCs/>
          <w:lang w:val="en-US"/>
        </w:rPr>
      </w:pPr>
    </w:p>
    <w:p w14:paraId="5CFE73AD" w14:textId="5A0882C7" w:rsidR="00F97733" w:rsidRPr="00AC7332" w:rsidRDefault="00F97733" w:rsidP="00F97733">
      <w:pPr>
        <w:rPr>
          <w:b/>
          <w:bCs/>
          <w:lang w:val="en-US"/>
        </w:rPr>
      </w:pPr>
      <w:r w:rsidRPr="00AC7332">
        <w:rPr>
          <w:b/>
          <w:bCs/>
          <w:lang w:val="en-US"/>
        </w:rPr>
        <w:t>About Colt CZ Group SE</w:t>
      </w:r>
    </w:p>
    <w:p w14:paraId="55378F09" w14:textId="77777777" w:rsidR="00F97733" w:rsidRPr="00AC7332" w:rsidRDefault="00F97733" w:rsidP="00F97733">
      <w:pPr>
        <w:rPr>
          <w:lang w:val="en-US"/>
        </w:rPr>
      </w:pPr>
      <w:r w:rsidRPr="00AC7332">
        <w:rPr>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CZ-USA, Dan Wesson, Spuhr, swissAA and 4M Systems brands.</w:t>
      </w:r>
    </w:p>
    <w:p w14:paraId="47FC9D28" w14:textId="44383A49" w:rsidR="00E86B69" w:rsidRPr="00AC7332" w:rsidRDefault="00F97733" w:rsidP="00BD3D9F">
      <w:pPr>
        <w:spacing w:before="0" w:after="0"/>
        <w:rPr>
          <w:lang w:val="en-US"/>
        </w:rPr>
      </w:pPr>
      <w:r w:rsidRPr="00AC7332">
        <w:rPr>
          <w:lang w:val="en-US"/>
        </w:rPr>
        <w:t>Colt CZ Group is headquartered in the Czech Republic and employs more than 2,000 people in its production facilities in the Czech Republic, the United States, Canada, Sweden, Switzerland, and Hungary. Colt CZ is owned by Česká zbrojovka Partners SE from 76.0%, with the remaining 24.0% being a free float.</w:t>
      </w:r>
    </w:p>
    <w:p w14:paraId="56280AC5" w14:textId="77777777" w:rsidR="00F97733" w:rsidRPr="00AC7332" w:rsidRDefault="00F97733" w:rsidP="00BD3D9F">
      <w:pPr>
        <w:spacing w:before="0" w:after="0"/>
        <w:rPr>
          <w:szCs w:val="20"/>
          <w:lang w:val="en-US"/>
        </w:rPr>
      </w:pPr>
    </w:p>
    <w:p w14:paraId="46C6F636" w14:textId="5FF3F03B" w:rsidR="007D2107" w:rsidRPr="00AC7332" w:rsidRDefault="00F97733" w:rsidP="00BD3D9F">
      <w:pPr>
        <w:spacing w:before="0" w:after="0"/>
        <w:rPr>
          <w:rFonts w:cs="Calibri"/>
          <w:b/>
          <w:bCs/>
          <w:color w:val="000000" w:themeColor="text1"/>
          <w:szCs w:val="20"/>
          <w:lang w:val="en-US"/>
        </w:rPr>
      </w:pPr>
      <w:r w:rsidRPr="00AC7332">
        <w:rPr>
          <w:rFonts w:cs="Calibri"/>
          <w:b/>
          <w:bCs/>
          <w:color w:val="000000" w:themeColor="text1"/>
          <w:szCs w:val="20"/>
          <w:lang w:val="en-US"/>
        </w:rPr>
        <w:t>Contact</w:t>
      </w:r>
      <w:r w:rsidR="003732F2" w:rsidRPr="00AC7332">
        <w:rPr>
          <w:rFonts w:cs="Calibri"/>
          <w:b/>
          <w:bCs/>
          <w:color w:val="000000" w:themeColor="text1"/>
          <w:szCs w:val="20"/>
          <w:lang w:val="en-US"/>
        </w:rPr>
        <w:t xml:space="preserve"> </w:t>
      </w:r>
      <w:r w:rsidRPr="00AC7332">
        <w:rPr>
          <w:rFonts w:cs="Calibri"/>
          <w:b/>
          <w:bCs/>
          <w:color w:val="000000" w:themeColor="text1"/>
          <w:szCs w:val="20"/>
          <w:lang w:val="en-US"/>
        </w:rPr>
        <w:t>for</w:t>
      </w:r>
      <w:r w:rsidR="007D2107" w:rsidRPr="00AC7332">
        <w:rPr>
          <w:rFonts w:cs="Calibri"/>
          <w:b/>
          <w:bCs/>
          <w:color w:val="000000" w:themeColor="text1"/>
          <w:szCs w:val="20"/>
          <w:lang w:val="en-US"/>
        </w:rPr>
        <w:t xml:space="preserve"> m</w:t>
      </w:r>
      <w:r w:rsidRPr="00AC7332">
        <w:rPr>
          <w:rFonts w:cs="Calibri"/>
          <w:b/>
          <w:bCs/>
          <w:color w:val="000000" w:themeColor="text1"/>
          <w:szCs w:val="20"/>
          <w:lang w:val="en-US"/>
        </w:rPr>
        <w:t>e</w:t>
      </w:r>
      <w:r w:rsidR="007D2107" w:rsidRPr="00AC7332">
        <w:rPr>
          <w:rFonts w:cs="Calibri"/>
          <w:b/>
          <w:bCs/>
          <w:color w:val="000000" w:themeColor="text1"/>
          <w:szCs w:val="20"/>
          <w:lang w:val="en-US"/>
        </w:rPr>
        <w:t xml:space="preserve">dia </w:t>
      </w:r>
      <w:r w:rsidR="007D2107" w:rsidRPr="00AC7332">
        <w:rPr>
          <w:rFonts w:cs="Calibri"/>
          <w:b/>
          <w:bCs/>
          <w:color w:val="000000" w:themeColor="text1"/>
          <w:szCs w:val="20"/>
          <w:lang w:val="en-US"/>
        </w:rPr>
        <w:tab/>
      </w:r>
      <w:r w:rsidR="007D2107" w:rsidRPr="00AC7332">
        <w:rPr>
          <w:rFonts w:cs="Calibri"/>
          <w:b/>
          <w:bCs/>
          <w:color w:val="000000" w:themeColor="text1"/>
          <w:szCs w:val="20"/>
          <w:lang w:val="en-US"/>
        </w:rPr>
        <w:tab/>
      </w:r>
      <w:r w:rsidR="007D2107" w:rsidRPr="00AC7332">
        <w:rPr>
          <w:rFonts w:cs="Calibri"/>
          <w:b/>
          <w:bCs/>
          <w:color w:val="000000" w:themeColor="text1"/>
          <w:szCs w:val="20"/>
          <w:lang w:val="en-US"/>
        </w:rPr>
        <w:tab/>
      </w:r>
      <w:r w:rsidR="007D2107" w:rsidRPr="00AC7332">
        <w:rPr>
          <w:rFonts w:cs="Calibri"/>
          <w:b/>
          <w:bCs/>
          <w:color w:val="000000" w:themeColor="text1"/>
          <w:szCs w:val="20"/>
          <w:lang w:val="en-US"/>
        </w:rPr>
        <w:tab/>
      </w:r>
      <w:r w:rsidR="007D2107" w:rsidRPr="00AC7332">
        <w:rPr>
          <w:rFonts w:cs="Calibri"/>
          <w:b/>
          <w:bCs/>
          <w:color w:val="000000" w:themeColor="text1"/>
          <w:szCs w:val="20"/>
          <w:lang w:val="en-US"/>
        </w:rPr>
        <w:tab/>
      </w:r>
      <w:r w:rsidR="007D2107" w:rsidRPr="00AC7332">
        <w:rPr>
          <w:rFonts w:cs="Calibri"/>
          <w:b/>
          <w:bCs/>
          <w:color w:val="000000" w:themeColor="text1"/>
          <w:szCs w:val="20"/>
          <w:lang w:val="en-US"/>
        </w:rPr>
        <w:tab/>
      </w:r>
      <w:r w:rsidRPr="00AC7332">
        <w:rPr>
          <w:rFonts w:cs="Calibri"/>
          <w:b/>
          <w:bCs/>
          <w:color w:val="000000" w:themeColor="text1"/>
          <w:szCs w:val="20"/>
          <w:lang w:val="en-US"/>
        </w:rPr>
        <w:t xml:space="preserve">Contact for </w:t>
      </w:r>
      <w:proofErr w:type="gramStart"/>
      <w:r w:rsidRPr="00AC7332">
        <w:rPr>
          <w:rFonts w:cs="Calibri"/>
          <w:b/>
          <w:bCs/>
          <w:color w:val="000000" w:themeColor="text1"/>
          <w:szCs w:val="20"/>
          <w:lang w:val="en-US"/>
        </w:rPr>
        <w:t>investors</w:t>
      </w:r>
      <w:proofErr w:type="gramEnd"/>
      <w:r w:rsidR="00BD3D9F" w:rsidRPr="00AC7332">
        <w:rPr>
          <w:rFonts w:cs="Calibri"/>
          <w:b/>
          <w:bCs/>
          <w:color w:val="000000" w:themeColor="text1"/>
          <w:szCs w:val="20"/>
          <w:lang w:val="en-US"/>
        </w:rPr>
        <w:tab/>
      </w:r>
      <w:r w:rsidR="00BD3D9F" w:rsidRPr="00AC7332">
        <w:rPr>
          <w:rFonts w:cs="Calibri"/>
          <w:b/>
          <w:bCs/>
          <w:color w:val="000000" w:themeColor="text1"/>
          <w:szCs w:val="20"/>
          <w:lang w:val="en-US"/>
        </w:rPr>
        <w:tab/>
      </w:r>
      <w:r w:rsidR="007D2107" w:rsidRPr="00AC7332">
        <w:rPr>
          <w:rFonts w:cs="Calibri"/>
          <w:b/>
          <w:bCs/>
          <w:color w:val="000000" w:themeColor="text1"/>
          <w:szCs w:val="20"/>
          <w:lang w:val="en-US"/>
        </w:rPr>
        <w:tab/>
      </w:r>
    </w:p>
    <w:p w14:paraId="051B1E37" w14:textId="50B9832A" w:rsidR="00BD3D9F" w:rsidRPr="00AC7332" w:rsidRDefault="007D2107" w:rsidP="00BD3D9F">
      <w:pPr>
        <w:spacing w:before="0" w:after="0"/>
        <w:rPr>
          <w:rFonts w:cs="Calibri"/>
          <w:color w:val="000000" w:themeColor="text1"/>
          <w:szCs w:val="20"/>
          <w:lang w:val="en-US"/>
        </w:rPr>
      </w:pPr>
      <w:r w:rsidRPr="00AC7332">
        <w:rPr>
          <w:rFonts w:cs="Calibri"/>
          <w:color w:val="000000" w:themeColor="text1"/>
          <w:szCs w:val="20"/>
          <w:lang w:val="en-US"/>
        </w:rPr>
        <w:t xml:space="preserve">Eva Svobodová </w:t>
      </w:r>
      <w:r w:rsidRPr="00AC7332">
        <w:rPr>
          <w:rFonts w:cs="Calibri"/>
          <w:color w:val="000000" w:themeColor="text1"/>
          <w:szCs w:val="20"/>
          <w:lang w:val="en-US"/>
        </w:rPr>
        <w:tab/>
      </w:r>
      <w:r w:rsidRPr="00AC7332">
        <w:rPr>
          <w:rFonts w:cs="Calibri"/>
          <w:color w:val="000000" w:themeColor="text1"/>
          <w:szCs w:val="20"/>
          <w:lang w:val="en-US"/>
        </w:rPr>
        <w:tab/>
      </w:r>
      <w:r w:rsidRPr="00AC7332">
        <w:rPr>
          <w:rFonts w:cs="Calibri"/>
          <w:color w:val="000000" w:themeColor="text1"/>
          <w:szCs w:val="20"/>
          <w:lang w:val="en-US"/>
        </w:rPr>
        <w:tab/>
      </w:r>
      <w:r w:rsidRPr="00AC7332">
        <w:rPr>
          <w:rFonts w:cs="Calibri"/>
          <w:color w:val="000000" w:themeColor="text1"/>
          <w:szCs w:val="20"/>
          <w:lang w:val="en-US"/>
        </w:rPr>
        <w:tab/>
      </w:r>
      <w:r w:rsidRPr="00AC7332">
        <w:rPr>
          <w:rFonts w:cs="Calibri"/>
          <w:color w:val="000000" w:themeColor="text1"/>
          <w:szCs w:val="20"/>
          <w:lang w:val="en-US"/>
        </w:rPr>
        <w:tab/>
      </w:r>
      <w:r w:rsidRPr="00AC7332">
        <w:rPr>
          <w:rFonts w:cs="Calibri"/>
          <w:color w:val="000000" w:themeColor="text1"/>
          <w:szCs w:val="20"/>
          <w:lang w:val="en-US"/>
        </w:rPr>
        <w:tab/>
      </w:r>
      <w:r w:rsidR="00BD3D9F" w:rsidRPr="00AC7332">
        <w:rPr>
          <w:rFonts w:cs="Calibri"/>
          <w:color w:val="000000" w:themeColor="text1"/>
          <w:szCs w:val="20"/>
          <w:lang w:val="en-US"/>
        </w:rPr>
        <w:t xml:space="preserve">Klára Šípová </w:t>
      </w:r>
      <w:r w:rsidR="00BD3D9F" w:rsidRPr="00AC7332">
        <w:rPr>
          <w:rFonts w:cs="Calibri"/>
          <w:color w:val="000000" w:themeColor="text1"/>
          <w:szCs w:val="20"/>
          <w:lang w:val="en-US"/>
        </w:rPr>
        <w:tab/>
      </w:r>
      <w:r w:rsidR="00BD3D9F" w:rsidRPr="00AC7332">
        <w:rPr>
          <w:rFonts w:cs="Calibri"/>
          <w:color w:val="000000" w:themeColor="text1"/>
          <w:szCs w:val="20"/>
          <w:lang w:val="en-US"/>
        </w:rPr>
        <w:tab/>
      </w:r>
      <w:r w:rsidR="00BD3D9F" w:rsidRPr="00AC7332">
        <w:rPr>
          <w:rFonts w:cs="Calibri"/>
          <w:color w:val="000000" w:themeColor="text1"/>
          <w:szCs w:val="20"/>
          <w:lang w:val="en-US"/>
        </w:rPr>
        <w:tab/>
      </w:r>
    </w:p>
    <w:p w14:paraId="7C62E876" w14:textId="173A2893" w:rsidR="00BD3D9F" w:rsidRPr="00AC7332" w:rsidRDefault="00F97733" w:rsidP="00BD3D9F">
      <w:pPr>
        <w:spacing w:before="0" w:after="0"/>
        <w:rPr>
          <w:rFonts w:cs="Calibri"/>
          <w:color w:val="000000" w:themeColor="text1"/>
          <w:szCs w:val="20"/>
          <w:lang w:val="en-US"/>
        </w:rPr>
      </w:pPr>
      <w:r w:rsidRPr="00AC7332">
        <w:rPr>
          <w:rFonts w:cs="Calibri"/>
          <w:color w:val="000000" w:themeColor="text1"/>
          <w:szCs w:val="20"/>
          <w:lang w:val="en-US"/>
        </w:rPr>
        <w:t>External Relations</w:t>
      </w:r>
      <w:r w:rsidR="007D2107" w:rsidRPr="00AC7332">
        <w:rPr>
          <w:rFonts w:cs="Calibri"/>
          <w:color w:val="000000" w:themeColor="text1"/>
          <w:szCs w:val="20"/>
          <w:lang w:val="en-US"/>
        </w:rPr>
        <w:t xml:space="preserve"> </w:t>
      </w:r>
      <w:r w:rsidRPr="00AC7332">
        <w:rPr>
          <w:rFonts w:cs="Calibri"/>
          <w:color w:val="000000" w:themeColor="text1"/>
          <w:szCs w:val="20"/>
          <w:lang w:val="en-US"/>
        </w:rPr>
        <w:t xml:space="preserve">Director </w:t>
      </w:r>
      <w:r w:rsidR="00AC7332">
        <w:rPr>
          <w:rFonts w:cs="Calibri"/>
          <w:color w:val="000000" w:themeColor="text1"/>
          <w:szCs w:val="20"/>
          <w:lang w:val="en-US"/>
        </w:rPr>
        <w:tab/>
      </w:r>
      <w:r w:rsidR="00AC7332">
        <w:rPr>
          <w:rFonts w:cs="Calibri"/>
          <w:color w:val="000000" w:themeColor="text1"/>
          <w:szCs w:val="20"/>
          <w:lang w:val="en-US"/>
        </w:rPr>
        <w:tab/>
      </w:r>
      <w:r w:rsidR="00AC7332">
        <w:rPr>
          <w:rFonts w:cs="Calibri"/>
          <w:color w:val="000000" w:themeColor="text1"/>
          <w:szCs w:val="20"/>
          <w:lang w:val="en-US"/>
        </w:rPr>
        <w:tab/>
      </w:r>
      <w:r w:rsidR="00AC7332">
        <w:rPr>
          <w:rFonts w:cs="Calibri"/>
          <w:color w:val="000000" w:themeColor="text1"/>
          <w:szCs w:val="20"/>
          <w:lang w:val="en-US"/>
        </w:rPr>
        <w:tab/>
      </w:r>
      <w:r w:rsidR="00AC7332">
        <w:rPr>
          <w:rFonts w:cs="Calibri"/>
          <w:color w:val="000000" w:themeColor="text1"/>
          <w:szCs w:val="20"/>
          <w:lang w:val="en-US"/>
        </w:rPr>
        <w:tab/>
      </w:r>
      <w:r w:rsidR="00BD3D9F" w:rsidRPr="00AC7332">
        <w:rPr>
          <w:rFonts w:cs="Calibri"/>
          <w:color w:val="000000" w:themeColor="text1"/>
          <w:szCs w:val="20"/>
          <w:lang w:val="en-US"/>
        </w:rPr>
        <w:t>Investor Relations</w:t>
      </w:r>
    </w:p>
    <w:p w14:paraId="797CF7D1" w14:textId="267EFC42" w:rsidR="00BD3D9F" w:rsidRPr="00AC7332" w:rsidRDefault="00BD3D9F" w:rsidP="00BD3D9F">
      <w:pPr>
        <w:spacing w:before="0" w:after="0"/>
        <w:rPr>
          <w:rFonts w:cs="Calibri"/>
          <w:color w:val="000000" w:themeColor="text1"/>
          <w:szCs w:val="20"/>
          <w:lang w:val="en-US"/>
        </w:rPr>
      </w:pPr>
      <w:r w:rsidRPr="00AC7332">
        <w:rPr>
          <w:rFonts w:cs="Calibri"/>
          <w:color w:val="000000" w:themeColor="text1"/>
          <w:szCs w:val="20"/>
          <w:lang w:val="en-US"/>
        </w:rPr>
        <w:t>Colt CZ Group SE</w:t>
      </w:r>
      <w:r w:rsidRPr="00AC7332">
        <w:rPr>
          <w:rFonts w:cs="Calibri"/>
          <w:color w:val="000000" w:themeColor="text1"/>
          <w:szCs w:val="20"/>
          <w:lang w:val="en-US"/>
        </w:rPr>
        <w:tab/>
      </w:r>
      <w:r w:rsidRPr="00AC7332">
        <w:rPr>
          <w:rFonts w:cs="Calibri"/>
          <w:color w:val="000000" w:themeColor="text1"/>
          <w:szCs w:val="20"/>
          <w:lang w:val="en-US"/>
        </w:rPr>
        <w:tab/>
      </w:r>
      <w:r w:rsidRPr="00AC7332">
        <w:rPr>
          <w:rFonts w:cs="Calibri"/>
          <w:color w:val="000000" w:themeColor="text1"/>
          <w:szCs w:val="20"/>
          <w:lang w:val="en-US"/>
        </w:rPr>
        <w:tab/>
      </w:r>
      <w:r w:rsidRPr="00AC7332">
        <w:rPr>
          <w:rFonts w:cs="Calibri"/>
          <w:color w:val="000000" w:themeColor="text1"/>
          <w:szCs w:val="20"/>
          <w:lang w:val="en-US"/>
        </w:rPr>
        <w:tab/>
      </w:r>
      <w:r w:rsidR="00BE7D56" w:rsidRPr="00AC7332">
        <w:rPr>
          <w:rFonts w:cs="Calibri"/>
          <w:color w:val="000000" w:themeColor="text1"/>
          <w:szCs w:val="20"/>
          <w:lang w:val="en-US"/>
        </w:rPr>
        <w:tab/>
      </w:r>
      <w:r w:rsidR="00BE7D56" w:rsidRPr="00AC7332">
        <w:rPr>
          <w:rFonts w:cs="Calibri"/>
          <w:color w:val="000000" w:themeColor="text1"/>
          <w:szCs w:val="20"/>
          <w:lang w:val="en-US"/>
        </w:rPr>
        <w:tab/>
        <w:t>Colt CZ</w:t>
      </w:r>
      <w:r w:rsidRPr="00AC7332">
        <w:rPr>
          <w:rFonts w:cs="Calibri"/>
          <w:color w:val="000000" w:themeColor="text1"/>
          <w:szCs w:val="20"/>
          <w:lang w:val="en-US"/>
        </w:rPr>
        <w:t xml:space="preserve"> Group SE</w:t>
      </w:r>
    </w:p>
    <w:p w14:paraId="4A3BFDFE" w14:textId="083DBFFE" w:rsidR="00BD3D9F" w:rsidRPr="00AC7332" w:rsidRDefault="003732F2" w:rsidP="00BD3D9F">
      <w:pPr>
        <w:spacing w:before="0" w:after="0"/>
        <w:rPr>
          <w:rFonts w:cs="Calibri"/>
          <w:color w:val="000000" w:themeColor="text1"/>
          <w:szCs w:val="20"/>
          <w:lang w:val="en-US"/>
        </w:rPr>
      </w:pPr>
      <w:r w:rsidRPr="00AC7332">
        <w:rPr>
          <w:rFonts w:cs="Calibri"/>
          <w:color w:val="000000" w:themeColor="text1"/>
          <w:szCs w:val="20"/>
          <w:lang w:val="en-US"/>
        </w:rPr>
        <w:t>Tel.:</w:t>
      </w:r>
      <w:r w:rsidR="007D2107" w:rsidRPr="00AC7332">
        <w:rPr>
          <w:rFonts w:cs="Calibri"/>
          <w:color w:val="000000" w:themeColor="text1"/>
          <w:szCs w:val="20"/>
          <w:lang w:val="en-US"/>
        </w:rPr>
        <w:t xml:space="preserve"> +420 735 793 656</w:t>
      </w:r>
      <w:r w:rsidR="007D2107" w:rsidRPr="00AC7332">
        <w:rPr>
          <w:rFonts w:cs="Calibri"/>
          <w:color w:val="000000" w:themeColor="text1"/>
          <w:szCs w:val="20"/>
          <w:lang w:val="en-US"/>
        </w:rPr>
        <w:tab/>
      </w:r>
      <w:r w:rsidR="007D2107" w:rsidRPr="00AC7332">
        <w:rPr>
          <w:rFonts w:cs="Calibri"/>
          <w:color w:val="000000" w:themeColor="text1"/>
          <w:szCs w:val="20"/>
          <w:lang w:val="en-US"/>
        </w:rPr>
        <w:tab/>
      </w:r>
      <w:r w:rsidR="007D2107" w:rsidRPr="00AC7332">
        <w:rPr>
          <w:rFonts w:cs="Calibri"/>
          <w:color w:val="000000" w:themeColor="text1"/>
          <w:szCs w:val="20"/>
          <w:lang w:val="en-US"/>
        </w:rPr>
        <w:tab/>
      </w:r>
      <w:r w:rsidR="007D2107" w:rsidRPr="00AC7332">
        <w:rPr>
          <w:rFonts w:cs="Calibri"/>
          <w:color w:val="000000" w:themeColor="text1"/>
          <w:szCs w:val="20"/>
          <w:lang w:val="en-US"/>
        </w:rPr>
        <w:tab/>
      </w:r>
      <w:r w:rsidR="007D2107" w:rsidRPr="00AC7332">
        <w:rPr>
          <w:rFonts w:cs="Calibri"/>
          <w:color w:val="000000" w:themeColor="text1"/>
          <w:szCs w:val="20"/>
          <w:lang w:val="en-US"/>
        </w:rPr>
        <w:tab/>
      </w:r>
      <w:r w:rsidRPr="00AC7332">
        <w:rPr>
          <w:rFonts w:cs="Calibri"/>
          <w:color w:val="000000" w:themeColor="text1"/>
          <w:szCs w:val="20"/>
          <w:lang w:val="en-US"/>
        </w:rPr>
        <w:tab/>
        <w:t>Tel.</w:t>
      </w:r>
      <w:r w:rsidR="00BD3D9F" w:rsidRPr="00AC7332">
        <w:rPr>
          <w:rFonts w:cs="Calibri"/>
          <w:color w:val="000000" w:themeColor="text1"/>
          <w:szCs w:val="20"/>
          <w:lang w:val="en-US"/>
        </w:rPr>
        <w:t>: + 420 724 255</w:t>
      </w:r>
      <w:r w:rsidR="007D2107" w:rsidRPr="00AC7332">
        <w:rPr>
          <w:rFonts w:cs="Calibri"/>
          <w:color w:val="000000" w:themeColor="text1"/>
          <w:szCs w:val="20"/>
          <w:lang w:val="en-US"/>
        </w:rPr>
        <w:t> </w:t>
      </w:r>
      <w:r w:rsidR="00BD3D9F" w:rsidRPr="00AC7332">
        <w:rPr>
          <w:rFonts w:cs="Calibri"/>
          <w:color w:val="000000" w:themeColor="text1"/>
          <w:szCs w:val="20"/>
          <w:lang w:val="en-US"/>
        </w:rPr>
        <w:t>715</w:t>
      </w:r>
      <w:r w:rsidR="007D2107" w:rsidRPr="00AC7332">
        <w:rPr>
          <w:rFonts w:cs="Calibri"/>
          <w:color w:val="000000" w:themeColor="text1"/>
          <w:szCs w:val="20"/>
          <w:lang w:val="en-US"/>
        </w:rPr>
        <w:tab/>
      </w:r>
    </w:p>
    <w:p w14:paraId="7A8BD6DB" w14:textId="28A9EE71" w:rsidR="00BD3D9F" w:rsidRPr="00AC7332" w:rsidRDefault="007D2107" w:rsidP="00D876DD">
      <w:pPr>
        <w:spacing w:before="0" w:after="0" w:line="276" w:lineRule="auto"/>
        <w:jc w:val="left"/>
        <w:rPr>
          <w:rFonts w:cs="Calibri"/>
          <w:color w:val="000000" w:themeColor="text1"/>
          <w:szCs w:val="20"/>
          <w:lang w:val="en-US"/>
        </w:rPr>
      </w:pPr>
      <w:r w:rsidRPr="00AC7332">
        <w:rPr>
          <w:rFonts w:cs="Calibri"/>
          <w:color w:val="000000" w:themeColor="text1"/>
          <w:szCs w:val="20"/>
          <w:lang w:val="en-US"/>
        </w:rPr>
        <w:lastRenderedPageBreak/>
        <w:t xml:space="preserve">email: </w:t>
      </w:r>
      <w:hyperlink r:id="rId11" w:history="1">
        <w:r w:rsidRPr="00AC7332">
          <w:rPr>
            <w:rStyle w:val="Hypertextovodkaz"/>
            <w:szCs w:val="20"/>
            <w:u w:val="none"/>
            <w:lang w:val="en-US"/>
          </w:rPr>
          <w:t>media@coltczgroup.com</w:t>
        </w:r>
      </w:hyperlink>
      <w:r w:rsidRPr="00AC7332">
        <w:rPr>
          <w:rFonts w:cs="Calibri"/>
          <w:color w:val="000000" w:themeColor="text1"/>
          <w:szCs w:val="20"/>
          <w:lang w:val="en-US"/>
        </w:rPr>
        <w:t xml:space="preserve"> </w:t>
      </w:r>
      <w:r w:rsidRPr="00AC7332">
        <w:rPr>
          <w:rFonts w:cs="Calibri"/>
          <w:color w:val="000000" w:themeColor="text1"/>
          <w:szCs w:val="20"/>
          <w:lang w:val="en-US"/>
        </w:rPr>
        <w:tab/>
      </w:r>
      <w:r w:rsidRPr="00AC7332">
        <w:rPr>
          <w:rFonts w:cs="Calibri"/>
          <w:color w:val="000000" w:themeColor="text1"/>
          <w:szCs w:val="20"/>
          <w:lang w:val="en-US"/>
        </w:rPr>
        <w:tab/>
      </w:r>
      <w:r w:rsidRPr="00AC7332">
        <w:rPr>
          <w:rFonts w:cs="Calibri"/>
          <w:color w:val="000000" w:themeColor="text1"/>
          <w:szCs w:val="20"/>
          <w:lang w:val="en-US"/>
        </w:rPr>
        <w:tab/>
      </w:r>
      <w:r w:rsidRPr="00AC7332">
        <w:rPr>
          <w:rFonts w:cs="Calibri"/>
          <w:color w:val="000000" w:themeColor="text1"/>
          <w:szCs w:val="20"/>
          <w:lang w:val="en-US"/>
        </w:rPr>
        <w:tab/>
      </w:r>
      <w:r w:rsidR="00BD3D9F" w:rsidRPr="00AC7332">
        <w:rPr>
          <w:rFonts w:cs="Calibri"/>
          <w:color w:val="000000" w:themeColor="text1"/>
          <w:szCs w:val="20"/>
          <w:lang w:val="en-US"/>
        </w:rPr>
        <w:t xml:space="preserve">email: </w:t>
      </w:r>
      <w:r w:rsidR="00AB7428" w:rsidRPr="00AC7332">
        <w:rPr>
          <w:szCs w:val="20"/>
          <w:lang w:val="en-US"/>
        </w:rPr>
        <w:t>sipova</w:t>
      </w:r>
      <w:r w:rsidR="00101C11" w:rsidRPr="00AC7332">
        <w:rPr>
          <w:szCs w:val="20"/>
          <w:lang w:val="en-US"/>
        </w:rPr>
        <w:t>@coltczgroup.co</w:t>
      </w:r>
      <w:r w:rsidRPr="00AC7332">
        <w:rPr>
          <w:szCs w:val="20"/>
          <w:lang w:val="en-US"/>
        </w:rPr>
        <w:t>m</w:t>
      </w:r>
    </w:p>
    <w:sectPr w:rsidR="00BD3D9F" w:rsidRPr="00AC7332" w:rsidSect="00C07127">
      <w:headerReference w:type="default" r:id="rId12"/>
      <w:footerReference w:type="default" r:id="rId13"/>
      <w:headerReference w:type="first" r:id="rId14"/>
      <w:footerReference w:type="first" r:id="rId15"/>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7DDEF" w14:textId="77777777" w:rsidR="00E657F8" w:rsidRDefault="00E657F8" w:rsidP="006547EF">
      <w:pPr>
        <w:spacing w:before="0" w:after="0"/>
      </w:pPr>
      <w:r>
        <w:separator/>
      </w:r>
    </w:p>
  </w:endnote>
  <w:endnote w:type="continuationSeparator" w:id="0">
    <w:p w14:paraId="6F797B9C" w14:textId="77777777" w:rsidR="00E657F8" w:rsidRDefault="00E657F8" w:rsidP="006547EF">
      <w:pPr>
        <w:spacing w:before="0" w:after="0"/>
      </w:pPr>
      <w:r>
        <w:continuationSeparator/>
      </w:r>
    </w:p>
  </w:endnote>
  <w:endnote w:type="continuationNotice" w:id="1">
    <w:p w14:paraId="569F8FAC" w14:textId="77777777" w:rsidR="00E657F8" w:rsidRDefault="00E657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3ACDB27E-12B1-4751-B1D6-FC7A783702BF}"/>
    <w:embedBold r:id="rId2" w:fontKey="{22ACAF3F-230E-47E5-82E0-743DBFF72150}"/>
    <w:embedItalic r:id="rId3" w:fontKey="{B4128AA7-23AC-4658-8969-53C6C420D5CF}"/>
    <w:embedBoldItalic r:id="rId4" w:fontKey="{0C9AF6E2-F110-41E0-B7F1-6612BCFD2AB7}"/>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EE"/>
    <w:family w:val="swiss"/>
    <w:pitch w:val="variable"/>
    <w:sig w:usb0="E4002EFF" w:usb1="C200247B" w:usb2="00000009" w:usb3="00000000" w:csb0="000001FF" w:csb1="00000000"/>
    <w:embedRegular r:id="rId5" w:fontKey="{FDEABDBA-BA0B-4CD5-A2E9-B006F80818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08DB" w14:textId="352EAEA4"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E86B69">
      <w:rPr>
        <w:rFonts w:eastAsiaTheme="minorHAnsi" w:cstheme="minorBidi"/>
        <w:sz w:val="14"/>
        <w:szCs w:val="14"/>
      </w:rPr>
      <w:t>náměstí Republiky</w:t>
    </w:r>
    <w:r w:rsidR="00C94E04" w:rsidRPr="00C94E04">
      <w:t xml:space="preserve"> </w:t>
    </w:r>
    <w:r w:rsidR="00C94E04" w:rsidRPr="00C94E04">
      <w:rPr>
        <w:rFonts w:eastAsiaTheme="minorHAnsi" w:cstheme="minorBidi"/>
        <w:sz w:val="14"/>
        <w:szCs w:val="14"/>
      </w:rPr>
      <w:t>2090/</w:t>
    </w:r>
    <w:proofErr w:type="gramStart"/>
    <w:r w:rsidR="00C94E04" w:rsidRPr="00C94E04">
      <w:rPr>
        <w:rFonts w:eastAsiaTheme="minorHAnsi" w:cstheme="minorBidi"/>
        <w:sz w:val="14"/>
        <w:szCs w:val="14"/>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FD466" w14:textId="77777777" w:rsidR="00E657F8" w:rsidRDefault="00E657F8" w:rsidP="006547EF">
      <w:pPr>
        <w:spacing w:before="0" w:after="0"/>
      </w:pPr>
      <w:r>
        <w:separator/>
      </w:r>
    </w:p>
  </w:footnote>
  <w:footnote w:type="continuationSeparator" w:id="0">
    <w:p w14:paraId="7B7E238F" w14:textId="77777777" w:rsidR="00E657F8" w:rsidRDefault="00E657F8" w:rsidP="006547EF">
      <w:pPr>
        <w:spacing w:before="0" w:after="0"/>
      </w:pPr>
      <w:r>
        <w:continuationSeparator/>
      </w:r>
    </w:p>
  </w:footnote>
  <w:footnote w:type="continuationNotice" w:id="1">
    <w:p w14:paraId="440B8EE3" w14:textId="77777777" w:rsidR="00E657F8" w:rsidRDefault="00E657F8">
      <w:pPr>
        <w:spacing w:before="0" w:after="0"/>
      </w:pPr>
    </w:p>
  </w:footnote>
  <w:footnote w:id="2">
    <w:p w14:paraId="0B4ABE6C" w14:textId="77777777" w:rsidR="00F97733" w:rsidRPr="004B5AB8" w:rsidRDefault="00E86B69" w:rsidP="00F97733">
      <w:pPr>
        <w:pStyle w:val="Textpoznpodarou"/>
        <w:rPr>
          <w:sz w:val="14"/>
          <w:szCs w:val="14"/>
          <w:lang w:val="en-US"/>
        </w:rPr>
      </w:pPr>
      <w:r w:rsidRPr="004B5AB8">
        <w:rPr>
          <w:rStyle w:val="Znakapoznpodarou"/>
          <w:lang w:val="en-US"/>
        </w:rPr>
        <w:footnoteRef/>
      </w:r>
      <w:r w:rsidRPr="004B5AB8">
        <w:rPr>
          <w:lang w:val="en-US"/>
        </w:rPr>
        <w:t xml:space="preserve"> </w:t>
      </w:r>
      <w:r w:rsidR="00F97733" w:rsidRPr="004B5AB8">
        <w:rPr>
          <w:sz w:val="14"/>
          <w:szCs w:val="14"/>
          <w:lang w:val="en-US"/>
        </w:rPr>
        <w:t xml:space="preserve">In the first half of 2023, EBITDA was adjusted by one-off items related to acquisitions and payments related to the employee </w:t>
      </w:r>
      <w:proofErr w:type="gramStart"/>
      <w:r w:rsidR="00F97733" w:rsidRPr="004B5AB8">
        <w:rPr>
          <w:sz w:val="14"/>
          <w:szCs w:val="14"/>
          <w:lang w:val="en-US"/>
        </w:rPr>
        <w:t>stock</w:t>
      </w:r>
      <w:proofErr w:type="gramEnd"/>
    </w:p>
    <w:p w14:paraId="3DE6393F" w14:textId="4D77E603" w:rsidR="00E86B69" w:rsidRPr="004B5AB8" w:rsidRDefault="00F97733" w:rsidP="00F97733">
      <w:pPr>
        <w:pStyle w:val="Textpoznpodarou"/>
        <w:rPr>
          <w:lang w:val="en-US"/>
        </w:rPr>
      </w:pPr>
      <w:r w:rsidRPr="004B5AB8">
        <w:rPr>
          <w:sz w:val="14"/>
          <w:szCs w:val="14"/>
          <w:lang w:val="en-US"/>
        </w:rPr>
        <w:t>option plan which are unrelated to operational performance and value creation in the given period.</w:t>
      </w:r>
    </w:p>
  </w:footnote>
  <w:footnote w:id="3">
    <w:p w14:paraId="15A628B1" w14:textId="6853EC71" w:rsidR="00F97733" w:rsidRDefault="00F97733" w:rsidP="00F97733">
      <w:pPr>
        <w:pStyle w:val="Textpoznpodarou"/>
      </w:pPr>
      <w:r w:rsidRPr="004B5AB8">
        <w:rPr>
          <w:rStyle w:val="Znakapoznpodarou"/>
          <w:lang w:val="en-US"/>
        </w:rPr>
        <w:footnoteRef/>
      </w:r>
      <w:r w:rsidRPr="004B5AB8">
        <w:rPr>
          <w:lang w:val="en-US"/>
        </w:rPr>
        <w:t xml:space="preserve"> </w:t>
      </w:r>
      <w:r w:rsidRPr="004B5AB8">
        <w:rPr>
          <w:sz w:val="14"/>
          <w:szCs w:val="14"/>
          <w:lang w:val="en-US"/>
        </w:rPr>
        <w:t>In the first half of 2023, profit for the year was adjusted by one-off items related to acquisitions and payments related to the employee stock option plan, costs of revaluation of equity earnout related to the Colt acquisition and by financing cost related to bond issue which are unrelated to operational performance and value creation in the given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3CF65F7E"/>
    <w:multiLevelType w:val="hybridMultilevel"/>
    <w:tmpl w:val="6BA87DD0"/>
    <w:lvl w:ilvl="0" w:tplc="C5608150">
      <w:numFmt w:val="bullet"/>
      <w:lvlText w:val="-"/>
      <w:lvlJc w:val="left"/>
      <w:pPr>
        <w:ind w:left="420" w:hanging="360"/>
      </w:pPr>
      <w:rPr>
        <w:rFonts w:ascii="Atyp Colt CZ" w:eastAsia="Times New Roman" w:hAnsi="Atyp Colt CZ"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0"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1"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3"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5"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2"/>
  </w:num>
  <w:num w:numId="5" w16cid:durableId="1215778394">
    <w:abstractNumId w:val="10"/>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5"/>
  </w:num>
  <w:num w:numId="10" w16cid:durableId="1700348953">
    <w:abstractNumId w:val="14"/>
  </w:num>
  <w:num w:numId="11" w16cid:durableId="1556622027">
    <w:abstractNumId w:val="6"/>
  </w:num>
  <w:num w:numId="12" w16cid:durableId="1143766924">
    <w:abstractNumId w:val="1"/>
  </w:num>
  <w:num w:numId="13" w16cid:durableId="2017464729">
    <w:abstractNumId w:val="2"/>
  </w:num>
  <w:num w:numId="14" w16cid:durableId="76948458">
    <w:abstractNumId w:val="11"/>
  </w:num>
  <w:num w:numId="15" w16cid:durableId="841168866">
    <w:abstractNumId w:val="13"/>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 w:numId="21" w16cid:durableId="115988175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0E54"/>
    <w:rsid w:val="000075CB"/>
    <w:rsid w:val="0001238C"/>
    <w:rsid w:val="00014197"/>
    <w:rsid w:val="0001579A"/>
    <w:rsid w:val="00023C8A"/>
    <w:rsid w:val="0002466C"/>
    <w:rsid w:val="00031DCA"/>
    <w:rsid w:val="00032590"/>
    <w:rsid w:val="000419D1"/>
    <w:rsid w:val="00060657"/>
    <w:rsid w:val="0006390A"/>
    <w:rsid w:val="00064D2F"/>
    <w:rsid w:val="00067C03"/>
    <w:rsid w:val="00075BE6"/>
    <w:rsid w:val="000A5F72"/>
    <w:rsid w:val="000C6252"/>
    <w:rsid w:val="000D0661"/>
    <w:rsid w:val="000D1109"/>
    <w:rsid w:val="000D28BD"/>
    <w:rsid w:val="000D4999"/>
    <w:rsid w:val="000E5BDC"/>
    <w:rsid w:val="000E66DD"/>
    <w:rsid w:val="000F12DC"/>
    <w:rsid w:val="000F6F22"/>
    <w:rsid w:val="000F7895"/>
    <w:rsid w:val="00101C11"/>
    <w:rsid w:val="00106FA4"/>
    <w:rsid w:val="0011114F"/>
    <w:rsid w:val="0011598F"/>
    <w:rsid w:val="001207D7"/>
    <w:rsid w:val="00137361"/>
    <w:rsid w:val="00141ED8"/>
    <w:rsid w:val="00141EFD"/>
    <w:rsid w:val="0014216E"/>
    <w:rsid w:val="0014227C"/>
    <w:rsid w:val="001439B2"/>
    <w:rsid w:val="0015280F"/>
    <w:rsid w:val="00154F03"/>
    <w:rsid w:val="00166A11"/>
    <w:rsid w:val="00181D60"/>
    <w:rsid w:val="001863D6"/>
    <w:rsid w:val="001906CD"/>
    <w:rsid w:val="001B075A"/>
    <w:rsid w:val="001B0AD0"/>
    <w:rsid w:val="001C1772"/>
    <w:rsid w:val="001C3845"/>
    <w:rsid w:val="001C5673"/>
    <w:rsid w:val="001C70FD"/>
    <w:rsid w:val="001D35CF"/>
    <w:rsid w:val="001D3CBB"/>
    <w:rsid w:val="001E11F9"/>
    <w:rsid w:val="001F70F6"/>
    <w:rsid w:val="00201F27"/>
    <w:rsid w:val="0020291C"/>
    <w:rsid w:val="002060BF"/>
    <w:rsid w:val="00224C21"/>
    <w:rsid w:val="0022636E"/>
    <w:rsid w:val="002338A1"/>
    <w:rsid w:val="0024081D"/>
    <w:rsid w:val="00253DC5"/>
    <w:rsid w:val="00261491"/>
    <w:rsid w:val="00273164"/>
    <w:rsid w:val="002808BD"/>
    <w:rsid w:val="00280934"/>
    <w:rsid w:val="00283374"/>
    <w:rsid w:val="0029223D"/>
    <w:rsid w:val="00293CF7"/>
    <w:rsid w:val="00294600"/>
    <w:rsid w:val="002958EA"/>
    <w:rsid w:val="002B4FA7"/>
    <w:rsid w:val="002B6B3D"/>
    <w:rsid w:val="002C1BD4"/>
    <w:rsid w:val="002C40A7"/>
    <w:rsid w:val="002D0D79"/>
    <w:rsid w:val="002D1D6E"/>
    <w:rsid w:val="002D715E"/>
    <w:rsid w:val="002E671A"/>
    <w:rsid w:val="002E7110"/>
    <w:rsid w:val="002F1333"/>
    <w:rsid w:val="002F6C00"/>
    <w:rsid w:val="002F6D00"/>
    <w:rsid w:val="00300C58"/>
    <w:rsid w:val="0030624C"/>
    <w:rsid w:val="00310709"/>
    <w:rsid w:val="00314C68"/>
    <w:rsid w:val="003158D5"/>
    <w:rsid w:val="0032033D"/>
    <w:rsid w:val="00327F29"/>
    <w:rsid w:val="00336577"/>
    <w:rsid w:val="0034239F"/>
    <w:rsid w:val="00344DC2"/>
    <w:rsid w:val="003548B4"/>
    <w:rsid w:val="003562DE"/>
    <w:rsid w:val="00363EE6"/>
    <w:rsid w:val="00364F2B"/>
    <w:rsid w:val="00365414"/>
    <w:rsid w:val="003732F2"/>
    <w:rsid w:val="0037428E"/>
    <w:rsid w:val="003761C7"/>
    <w:rsid w:val="003C1D5F"/>
    <w:rsid w:val="003C62F5"/>
    <w:rsid w:val="0041654A"/>
    <w:rsid w:val="004231C1"/>
    <w:rsid w:val="004261DC"/>
    <w:rsid w:val="00431180"/>
    <w:rsid w:val="00433EF3"/>
    <w:rsid w:val="004406BA"/>
    <w:rsid w:val="00446D64"/>
    <w:rsid w:val="00455BC6"/>
    <w:rsid w:val="00460B55"/>
    <w:rsid w:val="004718A8"/>
    <w:rsid w:val="00471995"/>
    <w:rsid w:val="00471E2F"/>
    <w:rsid w:val="00471F11"/>
    <w:rsid w:val="00477BC5"/>
    <w:rsid w:val="004941E1"/>
    <w:rsid w:val="00494A2F"/>
    <w:rsid w:val="004A300C"/>
    <w:rsid w:val="004A5F2A"/>
    <w:rsid w:val="004A73D0"/>
    <w:rsid w:val="004B2B5F"/>
    <w:rsid w:val="004B5AB8"/>
    <w:rsid w:val="004C2966"/>
    <w:rsid w:val="004C4C38"/>
    <w:rsid w:val="004C6FC1"/>
    <w:rsid w:val="004D4FA5"/>
    <w:rsid w:val="004D78F8"/>
    <w:rsid w:val="004E7C09"/>
    <w:rsid w:val="004F064E"/>
    <w:rsid w:val="004F5A25"/>
    <w:rsid w:val="004F68EC"/>
    <w:rsid w:val="00500F28"/>
    <w:rsid w:val="00503EEB"/>
    <w:rsid w:val="00513F3A"/>
    <w:rsid w:val="005166BE"/>
    <w:rsid w:val="005179CF"/>
    <w:rsid w:val="00544659"/>
    <w:rsid w:val="00557CD2"/>
    <w:rsid w:val="00561A03"/>
    <w:rsid w:val="00562A49"/>
    <w:rsid w:val="005719F6"/>
    <w:rsid w:val="0057680B"/>
    <w:rsid w:val="00580143"/>
    <w:rsid w:val="00581F37"/>
    <w:rsid w:val="005849C1"/>
    <w:rsid w:val="005870A3"/>
    <w:rsid w:val="0059405D"/>
    <w:rsid w:val="0059427F"/>
    <w:rsid w:val="005A44E1"/>
    <w:rsid w:val="005C30E4"/>
    <w:rsid w:val="005C4221"/>
    <w:rsid w:val="005C5E6F"/>
    <w:rsid w:val="005D5074"/>
    <w:rsid w:val="005D7E3F"/>
    <w:rsid w:val="005E6D79"/>
    <w:rsid w:val="005F505E"/>
    <w:rsid w:val="005F55FF"/>
    <w:rsid w:val="00603262"/>
    <w:rsid w:val="006037CD"/>
    <w:rsid w:val="00607036"/>
    <w:rsid w:val="00607132"/>
    <w:rsid w:val="00607363"/>
    <w:rsid w:val="00614DB5"/>
    <w:rsid w:val="00616D6A"/>
    <w:rsid w:val="0061745C"/>
    <w:rsid w:val="006236ED"/>
    <w:rsid w:val="00624F2A"/>
    <w:rsid w:val="0062600B"/>
    <w:rsid w:val="00632198"/>
    <w:rsid w:val="006438FC"/>
    <w:rsid w:val="006503F9"/>
    <w:rsid w:val="006525E7"/>
    <w:rsid w:val="006547EF"/>
    <w:rsid w:val="006570D5"/>
    <w:rsid w:val="00660530"/>
    <w:rsid w:val="0066162A"/>
    <w:rsid w:val="0066170E"/>
    <w:rsid w:val="00671C35"/>
    <w:rsid w:val="00682C36"/>
    <w:rsid w:val="0068519A"/>
    <w:rsid w:val="00691078"/>
    <w:rsid w:val="006C0A2C"/>
    <w:rsid w:val="006C35D2"/>
    <w:rsid w:val="006C3DD8"/>
    <w:rsid w:val="006C7355"/>
    <w:rsid w:val="006E7A34"/>
    <w:rsid w:val="006F190F"/>
    <w:rsid w:val="006F46AD"/>
    <w:rsid w:val="006F5A77"/>
    <w:rsid w:val="006F5BA9"/>
    <w:rsid w:val="00707179"/>
    <w:rsid w:val="00710332"/>
    <w:rsid w:val="007201A6"/>
    <w:rsid w:val="00721002"/>
    <w:rsid w:val="00732523"/>
    <w:rsid w:val="007329AF"/>
    <w:rsid w:val="00744D82"/>
    <w:rsid w:val="007506E3"/>
    <w:rsid w:val="0076063D"/>
    <w:rsid w:val="007715E4"/>
    <w:rsid w:val="00773130"/>
    <w:rsid w:val="007808A1"/>
    <w:rsid w:val="00782435"/>
    <w:rsid w:val="00795ED0"/>
    <w:rsid w:val="007A0A74"/>
    <w:rsid w:val="007A3121"/>
    <w:rsid w:val="007A5D07"/>
    <w:rsid w:val="007B155C"/>
    <w:rsid w:val="007D0463"/>
    <w:rsid w:val="007D0534"/>
    <w:rsid w:val="007D2107"/>
    <w:rsid w:val="007D6C00"/>
    <w:rsid w:val="007E6670"/>
    <w:rsid w:val="00815A6C"/>
    <w:rsid w:val="008215BB"/>
    <w:rsid w:val="00822572"/>
    <w:rsid w:val="008225F6"/>
    <w:rsid w:val="00832FB5"/>
    <w:rsid w:val="00842EC4"/>
    <w:rsid w:val="00846B9C"/>
    <w:rsid w:val="0085140F"/>
    <w:rsid w:val="008627DF"/>
    <w:rsid w:val="00866DF8"/>
    <w:rsid w:val="00876CEA"/>
    <w:rsid w:val="00881D6B"/>
    <w:rsid w:val="00890F40"/>
    <w:rsid w:val="00894C2D"/>
    <w:rsid w:val="008A138E"/>
    <w:rsid w:val="008A20C5"/>
    <w:rsid w:val="008A5AE6"/>
    <w:rsid w:val="008B54FB"/>
    <w:rsid w:val="008B58FB"/>
    <w:rsid w:val="008C643D"/>
    <w:rsid w:val="008D72BF"/>
    <w:rsid w:val="008E3B36"/>
    <w:rsid w:val="008E4C81"/>
    <w:rsid w:val="008E7086"/>
    <w:rsid w:val="008F1D19"/>
    <w:rsid w:val="008F385E"/>
    <w:rsid w:val="0091013C"/>
    <w:rsid w:val="00934036"/>
    <w:rsid w:val="00946042"/>
    <w:rsid w:val="009627C4"/>
    <w:rsid w:val="00974591"/>
    <w:rsid w:val="009819F1"/>
    <w:rsid w:val="009829BC"/>
    <w:rsid w:val="00985429"/>
    <w:rsid w:val="0098762D"/>
    <w:rsid w:val="009A056D"/>
    <w:rsid w:val="009A743B"/>
    <w:rsid w:val="009B1B1F"/>
    <w:rsid w:val="009B67D4"/>
    <w:rsid w:val="009C34C4"/>
    <w:rsid w:val="009C3BD8"/>
    <w:rsid w:val="009C5237"/>
    <w:rsid w:val="009D13A4"/>
    <w:rsid w:val="009D2B7E"/>
    <w:rsid w:val="009E1C21"/>
    <w:rsid w:val="009E407A"/>
    <w:rsid w:val="009E5C9F"/>
    <w:rsid w:val="009F1B40"/>
    <w:rsid w:val="009F2C30"/>
    <w:rsid w:val="009F38A4"/>
    <w:rsid w:val="009F5151"/>
    <w:rsid w:val="009F58BB"/>
    <w:rsid w:val="00A021F2"/>
    <w:rsid w:val="00A0374E"/>
    <w:rsid w:val="00A03945"/>
    <w:rsid w:val="00A0443C"/>
    <w:rsid w:val="00A140A3"/>
    <w:rsid w:val="00A251E8"/>
    <w:rsid w:val="00A27A78"/>
    <w:rsid w:val="00A318E9"/>
    <w:rsid w:val="00A46EED"/>
    <w:rsid w:val="00A47A46"/>
    <w:rsid w:val="00A574CB"/>
    <w:rsid w:val="00A6284F"/>
    <w:rsid w:val="00A64B50"/>
    <w:rsid w:val="00A65523"/>
    <w:rsid w:val="00A71F1F"/>
    <w:rsid w:val="00A73118"/>
    <w:rsid w:val="00A7755A"/>
    <w:rsid w:val="00A77E88"/>
    <w:rsid w:val="00A90173"/>
    <w:rsid w:val="00AA1109"/>
    <w:rsid w:val="00AA118F"/>
    <w:rsid w:val="00AA287D"/>
    <w:rsid w:val="00AA576E"/>
    <w:rsid w:val="00AB6DCC"/>
    <w:rsid w:val="00AB7428"/>
    <w:rsid w:val="00AC7332"/>
    <w:rsid w:val="00AD4D5C"/>
    <w:rsid w:val="00AE4861"/>
    <w:rsid w:val="00B002E0"/>
    <w:rsid w:val="00B00CD5"/>
    <w:rsid w:val="00B271FA"/>
    <w:rsid w:val="00B31869"/>
    <w:rsid w:val="00B431AC"/>
    <w:rsid w:val="00B51FC4"/>
    <w:rsid w:val="00B52FB6"/>
    <w:rsid w:val="00B60312"/>
    <w:rsid w:val="00B64F9F"/>
    <w:rsid w:val="00B67303"/>
    <w:rsid w:val="00B70B78"/>
    <w:rsid w:val="00B7225F"/>
    <w:rsid w:val="00B9174E"/>
    <w:rsid w:val="00BA1485"/>
    <w:rsid w:val="00BA1B30"/>
    <w:rsid w:val="00BA5713"/>
    <w:rsid w:val="00BB2011"/>
    <w:rsid w:val="00BB6082"/>
    <w:rsid w:val="00BC6C0E"/>
    <w:rsid w:val="00BD03FC"/>
    <w:rsid w:val="00BD3D9F"/>
    <w:rsid w:val="00BD52CE"/>
    <w:rsid w:val="00BE0F69"/>
    <w:rsid w:val="00BE2569"/>
    <w:rsid w:val="00BE47BD"/>
    <w:rsid w:val="00BE7D56"/>
    <w:rsid w:val="00BF0532"/>
    <w:rsid w:val="00BF05CD"/>
    <w:rsid w:val="00BF2D9D"/>
    <w:rsid w:val="00BF4FD4"/>
    <w:rsid w:val="00BF507D"/>
    <w:rsid w:val="00BF5574"/>
    <w:rsid w:val="00BF595F"/>
    <w:rsid w:val="00C03272"/>
    <w:rsid w:val="00C07127"/>
    <w:rsid w:val="00C07A40"/>
    <w:rsid w:val="00C163E3"/>
    <w:rsid w:val="00C2670A"/>
    <w:rsid w:val="00C27A16"/>
    <w:rsid w:val="00C40706"/>
    <w:rsid w:val="00C46682"/>
    <w:rsid w:val="00C5077A"/>
    <w:rsid w:val="00C52920"/>
    <w:rsid w:val="00C53366"/>
    <w:rsid w:val="00C56BFA"/>
    <w:rsid w:val="00C614C8"/>
    <w:rsid w:val="00C618B5"/>
    <w:rsid w:val="00C76441"/>
    <w:rsid w:val="00C76BD8"/>
    <w:rsid w:val="00C8337A"/>
    <w:rsid w:val="00C9232A"/>
    <w:rsid w:val="00C94E04"/>
    <w:rsid w:val="00C96072"/>
    <w:rsid w:val="00CB1687"/>
    <w:rsid w:val="00CB34A2"/>
    <w:rsid w:val="00CC53D0"/>
    <w:rsid w:val="00CD18D2"/>
    <w:rsid w:val="00CD4C3A"/>
    <w:rsid w:val="00CF7EC4"/>
    <w:rsid w:val="00D0385E"/>
    <w:rsid w:val="00D07CA1"/>
    <w:rsid w:val="00D162F4"/>
    <w:rsid w:val="00D22053"/>
    <w:rsid w:val="00D2595B"/>
    <w:rsid w:val="00D44564"/>
    <w:rsid w:val="00D537DD"/>
    <w:rsid w:val="00D60D73"/>
    <w:rsid w:val="00D62913"/>
    <w:rsid w:val="00D733CB"/>
    <w:rsid w:val="00D76CAC"/>
    <w:rsid w:val="00D82DB4"/>
    <w:rsid w:val="00D8484B"/>
    <w:rsid w:val="00D876DD"/>
    <w:rsid w:val="00DB71BE"/>
    <w:rsid w:val="00DC2B5A"/>
    <w:rsid w:val="00DC6F30"/>
    <w:rsid w:val="00DD0E85"/>
    <w:rsid w:val="00DD3B54"/>
    <w:rsid w:val="00DE61D3"/>
    <w:rsid w:val="00DF7943"/>
    <w:rsid w:val="00E030DC"/>
    <w:rsid w:val="00E06658"/>
    <w:rsid w:val="00E06F88"/>
    <w:rsid w:val="00E11853"/>
    <w:rsid w:val="00E1723F"/>
    <w:rsid w:val="00E22375"/>
    <w:rsid w:val="00E22835"/>
    <w:rsid w:val="00E26188"/>
    <w:rsid w:val="00E30C52"/>
    <w:rsid w:val="00E3774A"/>
    <w:rsid w:val="00E45062"/>
    <w:rsid w:val="00E5325D"/>
    <w:rsid w:val="00E55B72"/>
    <w:rsid w:val="00E56AB0"/>
    <w:rsid w:val="00E61050"/>
    <w:rsid w:val="00E657F8"/>
    <w:rsid w:val="00E67DD0"/>
    <w:rsid w:val="00E72633"/>
    <w:rsid w:val="00E76942"/>
    <w:rsid w:val="00E86B69"/>
    <w:rsid w:val="00E94E72"/>
    <w:rsid w:val="00EA0ECE"/>
    <w:rsid w:val="00EA7C72"/>
    <w:rsid w:val="00EC02BF"/>
    <w:rsid w:val="00EC03B8"/>
    <w:rsid w:val="00EC20E0"/>
    <w:rsid w:val="00EC7039"/>
    <w:rsid w:val="00EC77D6"/>
    <w:rsid w:val="00EC7BF9"/>
    <w:rsid w:val="00ED23DD"/>
    <w:rsid w:val="00EE4923"/>
    <w:rsid w:val="00EF1872"/>
    <w:rsid w:val="00F055E0"/>
    <w:rsid w:val="00F17FFD"/>
    <w:rsid w:val="00F22C2B"/>
    <w:rsid w:val="00F241D3"/>
    <w:rsid w:val="00F31E56"/>
    <w:rsid w:val="00F42AA7"/>
    <w:rsid w:val="00F46300"/>
    <w:rsid w:val="00F51BDA"/>
    <w:rsid w:val="00F72B25"/>
    <w:rsid w:val="00F73D6B"/>
    <w:rsid w:val="00F87E05"/>
    <w:rsid w:val="00F9058A"/>
    <w:rsid w:val="00F9631C"/>
    <w:rsid w:val="00F97733"/>
    <w:rsid w:val="00FA0C93"/>
    <w:rsid w:val="00FA400B"/>
    <w:rsid w:val="00FB2327"/>
    <w:rsid w:val="00FC7A29"/>
    <w:rsid w:val="00FD3306"/>
    <w:rsid w:val="00FD4026"/>
    <w:rsid w:val="00FD51E6"/>
    <w:rsid w:val="00FE7BA2"/>
    <w:rsid w:val="27293419"/>
    <w:rsid w:val="2C228115"/>
    <w:rsid w:val="2DDC655D"/>
    <w:rsid w:val="2F50296C"/>
    <w:rsid w:val="3808AAAC"/>
    <w:rsid w:val="3C31884D"/>
    <w:rsid w:val="7376D954"/>
    <w:rsid w:val="7FAE2E67"/>
  </w:rsids>
  <m:mathPr>
    <m:mathFont m:val="Cambria Math"/>
    <m:brkBin m:val="before"/>
    <m:brkBinSub m:val="--"/>
    <m:smallFrac m:val="0"/>
    <m:dispDef/>
    <m:lMargin m:val="0"/>
    <m:rMargin m:val="0"/>
    <m:defJc m:val="centerGroup"/>
    <m:wrapIndent m:val="1440"/>
    <m:intLim m:val="subSup"/>
    <m:naryLim m:val="undOvr"/>
  </m:mathPr>
  <w:themeFontLang w:val="cs-C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D8C5A1A7-AD36-4E6A-83A0-A4EC40C5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6071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64573149">
      <w:bodyDiv w:val="1"/>
      <w:marLeft w:val="0"/>
      <w:marRight w:val="0"/>
      <w:marTop w:val="0"/>
      <w:marBottom w:val="0"/>
      <w:divBdr>
        <w:top w:val="none" w:sz="0" w:space="0" w:color="auto"/>
        <w:left w:val="none" w:sz="0" w:space="0" w:color="auto"/>
        <w:bottom w:val="none" w:sz="0" w:space="0" w:color="auto"/>
        <w:right w:val="none" w:sz="0" w:space="0" w:color="auto"/>
      </w:divBdr>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oltczgroup.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278B27A32C1D428EA3579BA5F17923" ma:contentTypeVersion="16" ma:contentTypeDescription="Vytvoří nový dokument" ma:contentTypeScope="" ma:versionID="a7714195f68176f5815cc642737be034">
  <xsd:schema xmlns:xsd="http://www.w3.org/2001/XMLSchema" xmlns:xs="http://www.w3.org/2001/XMLSchema" xmlns:p="http://schemas.microsoft.com/office/2006/metadata/properties" xmlns:ns2="9d3eee87-ef8c-413e-a8d3-4745f26df625" xmlns:ns3="c697cfce-db15-4d46-b574-5ead264874a8" targetNamespace="http://schemas.microsoft.com/office/2006/metadata/properties" ma:root="true" ma:fieldsID="056e72c68a487fe1c76f18c2d4553650" ns2:_="" ns3:_="">
    <xsd:import namespace="9d3eee87-ef8c-413e-a8d3-4745f26df625"/>
    <xsd:import namespace="c697cfce-db15-4d46-b574-5ead264874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eee87-ef8c-413e-a8d3-4745f26df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edeee852-b1e8-43a3-9a8c-e309434119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97cfce-db15-4d46-b574-5ead264874a8"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5a3c5016-85f8-41f4-9a8a-295438767c4e}" ma:internalName="TaxCatchAll" ma:showField="CatchAllData" ma:web="c697cfce-db15-4d46-b574-5ead264874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3eee87-ef8c-413e-a8d3-4745f26df625">
      <Terms xmlns="http://schemas.microsoft.com/office/infopath/2007/PartnerControls"/>
    </lcf76f155ced4ddcb4097134ff3c332f>
    <TaxCatchAll xmlns="c697cfce-db15-4d46-b574-5ead264874a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D2B26-A279-4DAD-86CD-C90AAE11C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eee87-ef8c-413e-a8d3-4745f26df625"/>
    <ds:schemaRef ds:uri="c697cfce-db15-4d46-b574-5ead26487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9d3eee87-ef8c-413e-a8d3-4745f26df625"/>
    <ds:schemaRef ds:uri="c697cfce-db15-4d46-b574-5ead264874a8"/>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3</TotalTime>
  <Pages>3</Pages>
  <Words>854</Words>
  <Characters>5044</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5</cp:revision>
  <dcterms:created xsi:type="dcterms:W3CDTF">2023-09-19T05:38:00Z</dcterms:created>
  <dcterms:modified xsi:type="dcterms:W3CDTF">2023-09-19T05:43:00Z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0x01010084278B27A32C1D428EA3579BA5F17923</vt:lpwstr>
  </property>
  <property fmtid="{D5CDD505-2E9C-101B-9397-08002B2CF9AE}" pid="3" name="MediaServiceImageTags">
    <vt:lpwstr/>
  </property>
</Properties>
</file>