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8EAF7" w14:textId="40A9B908" w:rsidR="004813A9" w:rsidRDefault="0050664E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  <w:r w:rsidRPr="0AD3141C">
        <w:rPr>
          <w:rFonts w:cs="Calibri"/>
          <w:b/>
          <w:bCs/>
          <w:caps/>
          <w:sz w:val="22"/>
          <w:szCs w:val="22"/>
        </w:rPr>
        <w:t>TISKOVÁ ZPRÁVA</w:t>
      </w:r>
    </w:p>
    <w:p w14:paraId="3602FFD2" w14:textId="77777777" w:rsidR="00770B17" w:rsidRDefault="00770B17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</w:p>
    <w:p w14:paraId="6C0825C2" w14:textId="20643EC2" w:rsidR="002E05D1" w:rsidRPr="008377C4" w:rsidRDefault="008377C4" w:rsidP="008377C4">
      <w:pPr>
        <w:jc w:val="center"/>
        <w:rPr>
          <w:b/>
          <w:bCs/>
          <w:sz w:val="28"/>
          <w:szCs w:val="28"/>
        </w:rPr>
      </w:pPr>
      <w:r w:rsidRPr="008377C4">
        <w:rPr>
          <w:b/>
          <w:bCs/>
          <w:sz w:val="28"/>
          <w:szCs w:val="28"/>
        </w:rPr>
        <w:t>Colt CZ Group zvýšila čistý zisk za první pololetí 2025 o 50,8 % na 919 mil. Kč</w:t>
      </w:r>
    </w:p>
    <w:p w14:paraId="6DE6654E" w14:textId="77777777" w:rsidR="00770B17" w:rsidRPr="00D469AD" w:rsidRDefault="00770B17" w:rsidP="002172AB">
      <w:pPr>
        <w:spacing w:before="120"/>
        <w:rPr>
          <w:rFonts w:cs="Calibri"/>
          <w:color w:val="000000" w:themeColor="text1"/>
          <w:sz w:val="22"/>
          <w:szCs w:val="22"/>
        </w:rPr>
      </w:pPr>
    </w:p>
    <w:p w14:paraId="0657F99A" w14:textId="3489D6B7" w:rsidR="004813A9" w:rsidRDefault="004813A9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AD3141C">
        <w:rPr>
          <w:rFonts w:cs="Calibri"/>
          <w:b/>
          <w:bCs/>
          <w:color w:val="000000" w:themeColor="text1"/>
          <w:sz w:val="22"/>
          <w:szCs w:val="22"/>
        </w:rPr>
        <w:t>Praha (</w:t>
      </w:r>
      <w:r w:rsidR="00885BFB">
        <w:rPr>
          <w:rFonts w:cs="Calibri"/>
          <w:b/>
          <w:bCs/>
          <w:color w:val="000000" w:themeColor="text1"/>
          <w:sz w:val="22"/>
          <w:szCs w:val="22"/>
        </w:rPr>
        <w:t>18</w:t>
      </w:r>
      <w:r w:rsidRPr="0AD3141C">
        <w:rPr>
          <w:rFonts w:cs="Calibri"/>
          <w:b/>
          <w:bCs/>
          <w:color w:val="000000" w:themeColor="text1"/>
          <w:sz w:val="22"/>
          <w:szCs w:val="22"/>
        </w:rPr>
        <w:t xml:space="preserve">. </w:t>
      </w:r>
      <w:r w:rsidR="003C7405" w:rsidRPr="0AD3141C">
        <w:rPr>
          <w:rFonts w:cs="Calibri"/>
          <w:b/>
          <w:bCs/>
          <w:color w:val="000000" w:themeColor="text1"/>
          <w:sz w:val="22"/>
          <w:szCs w:val="22"/>
        </w:rPr>
        <w:t>září</w:t>
      </w:r>
      <w:r w:rsidRPr="0AD3141C">
        <w:rPr>
          <w:rFonts w:cs="Calibri"/>
          <w:b/>
          <w:bCs/>
          <w:color w:val="000000" w:themeColor="text1"/>
          <w:sz w:val="22"/>
          <w:szCs w:val="22"/>
        </w:rPr>
        <w:t xml:space="preserve"> 202</w:t>
      </w:r>
      <w:r w:rsidR="000F67A7">
        <w:rPr>
          <w:rFonts w:cs="Calibri"/>
          <w:b/>
          <w:bCs/>
          <w:color w:val="000000" w:themeColor="text1"/>
          <w:sz w:val="22"/>
          <w:szCs w:val="22"/>
        </w:rPr>
        <w:t>5</w:t>
      </w:r>
      <w:r w:rsidRPr="0AD3141C">
        <w:rPr>
          <w:rFonts w:cs="Calibri"/>
          <w:b/>
          <w:bCs/>
          <w:color w:val="000000" w:themeColor="text1"/>
          <w:sz w:val="22"/>
          <w:szCs w:val="22"/>
        </w:rPr>
        <w:t>)</w:t>
      </w:r>
      <w:r w:rsidRPr="0AD3141C">
        <w:rPr>
          <w:rFonts w:cs="Calibri"/>
          <w:color w:val="000000" w:themeColor="text1"/>
          <w:sz w:val="22"/>
          <w:szCs w:val="22"/>
        </w:rPr>
        <w:t xml:space="preserve"> ― </w:t>
      </w:r>
      <w:r w:rsidR="00996659" w:rsidRPr="0AD3141C">
        <w:rPr>
          <w:rFonts w:cs="Calibri"/>
          <w:color w:val="000000" w:themeColor="text1"/>
          <w:sz w:val="22"/>
          <w:szCs w:val="22"/>
        </w:rPr>
        <w:t>Společnost Colt CZ Group SE („Colt CZ</w:t>
      </w:r>
      <w:r w:rsidR="004A41BE" w:rsidRPr="0AD3141C">
        <w:rPr>
          <w:rFonts w:cs="Calibri"/>
          <w:color w:val="000000" w:themeColor="text1"/>
          <w:sz w:val="22"/>
          <w:szCs w:val="22"/>
        </w:rPr>
        <w:t>“</w:t>
      </w:r>
      <w:r w:rsidR="00996659" w:rsidRPr="0AD3141C">
        <w:rPr>
          <w:rFonts w:cs="Calibri"/>
          <w:color w:val="000000" w:themeColor="text1"/>
          <w:sz w:val="22"/>
          <w:szCs w:val="22"/>
        </w:rPr>
        <w:t xml:space="preserve">, „Skupina“ nebo „Společnost“) dnes zveřejnila své konsolidované neauditované finanční výsledky za první </w:t>
      </w:r>
      <w:r w:rsidR="003C7405" w:rsidRPr="0AD3141C">
        <w:rPr>
          <w:rFonts w:cs="Calibri"/>
          <w:color w:val="000000" w:themeColor="text1"/>
          <w:sz w:val="22"/>
          <w:szCs w:val="22"/>
        </w:rPr>
        <w:t>polovinu</w:t>
      </w:r>
      <w:r w:rsidR="00996659" w:rsidRPr="0AD3141C">
        <w:rPr>
          <w:rFonts w:cs="Calibri"/>
          <w:color w:val="000000" w:themeColor="text1"/>
          <w:sz w:val="22"/>
          <w:szCs w:val="22"/>
        </w:rPr>
        <w:t xml:space="preserve"> roku 202</w:t>
      </w:r>
      <w:r w:rsidR="003B5B79">
        <w:rPr>
          <w:rFonts w:cs="Calibri"/>
          <w:color w:val="000000" w:themeColor="text1"/>
          <w:sz w:val="22"/>
          <w:szCs w:val="22"/>
        </w:rPr>
        <w:t>5</w:t>
      </w:r>
      <w:r w:rsidR="00996659" w:rsidRPr="0AD3141C">
        <w:rPr>
          <w:rFonts w:cs="Calibri"/>
          <w:color w:val="000000" w:themeColor="text1"/>
          <w:sz w:val="22"/>
          <w:szCs w:val="22"/>
        </w:rPr>
        <w:t xml:space="preserve"> končící 3</w:t>
      </w:r>
      <w:r w:rsidR="1BEEA88D" w:rsidRPr="0AD3141C">
        <w:rPr>
          <w:rFonts w:cs="Calibri"/>
          <w:color w:val="000000" w:themeColor="text1"/>
          <w:sz w:val="22"/>
          <w:szCs w:val="22"/>
        </w:rPr>
        <w:t>0</w:t>
      </w:r>
      <w:r w:rsidR="00996659" w:rsidRPr="0AD3141C">
        <w:rPr>
          <w:rFonts w:cs="Calibri"/>
          <w:color w:val="000000" w:themeColor="text1"/>
          <w:sz w:val="22"/>
          <w:szCs w:val="22"/>
        </w:rPr>
        <w:t xml:space="preserve">. </w:t>
      </w:r>
      <w:r w:rsidR="003C7405" w:rsidRPr="0AD3141C">
        <w:rPr>
          <w:rFonts w:cs="Calibri"/>
          <w:color w:val="000000" w:themeColor="text1"/>
          <w:sz w:val="22"/>
          <w:szCs w:val="22"/>
        </w:rPr>
        <w:t>červnem</w:t>
      </w:r>
      <w:r w:rsidR="00996659" w:rsidRPr="0AD3141C">
        <w:rPr>
          <w:rFonts w:cs="Calibri"/>
          <w:color w:val="000000" w:themeColor="text1"/>
          <w:sz w:val="22"/>
          <w:szCs w:val="22"/>
        </w:rPr>
        <w:t>.</w:t>
      </w:r>
    </w:p>
    <w:p w14:paraId="7CCFBE6B" w14:textId="66599DE2" w:rsidR="004813A9" w:rsidRPr="00D469AD" w:rsidRDefault="004813A9" w:rsidP="00517520">
      <w:pPr>
        <w:spacing w:before="240"/>
        <w:rPr>
          <w:rFonts w:cs="Calibri"/>
          <w:b/>
          <w:bCs/>
          <w:sz w:val="22"/>
          <w:szCs w:val="22"/>
        </w:rPr>
      </w:pPr>
      <w:r w:rsidRPr="0AD3141C">
        <w:rPr>
          <w:rFonts w:cs="Calibri"/>
          <w:b/>
          <w:bCs/>
          <w:sz w:val="22"/>
          <w:szCs w:val="22"/>
        </w:rPr>
        <w:t xml:space="preserve">Klíčové finanční údaje </w:t>
      </w:r>
      <w:r w:rsidR="00996659" w:rsidRPr="0AD3141C">
        <w:rPr>
          <w:rFonts w:cs="Calibri"/>
          <w:b/>
          <w:bCs/>
          <w:sz w:val="22"/>
          <w:szCs w:val="22"/>
        </w:rPr>
        <w:t>za první</w:t>
      </w:r>
      <w:r w:rsidR="003C7405" w:rsidRPr="0AD3141C">
        <w:rPr>
          <w:rFonts w:cs="Calibri"/>
          <w:b/>
          <w:bCs/>
          <w:sz w:val="22"/>
          <w:szCs w:val="22"/>
        </w:rPr>
        <w:t xml:space="preserve"> pololetí</w:t>
      </w:r>
      <w:r w:rsidR="00996659" w:rsidRPr="0AD3141C">
        <w:rPr>
          <w:rFonts w:cs="Calibri"/>
          <w:b/>
          <w:bCs/>
          <w:sz w:val="22"/>
          <w:szCs w:val="22"/>
        </w:rPr>
        <w:t xml:space="preserve"> roku 202</w:t>
      </w:r>
      <w:r w:rsidR="003B5B79">
        <w:rPr>
          <w:rFonts w:cs="Calibri"/>
          <w:b/>
          <w:bCs/>
          <w:sz w:val="22"/>
          <w:szCs w:val="22"/>
        </w:rPr>
        <w:t>5</w:t>
      </w:r>
      <w:r w:rsidRPr="0AD3141C">
        <w:rPr>
          <w:rFonts w:cs="Calibri"/>
          <w:b/>
          <w:bCs/>
          <w:sz w:val="22"/>
          <w:szCs w:val="22"/>
        </w:rPr>
        <w:t>:</w:t>
      </w:r>
    </w:p>
    <w:p w14:paraId="39C2022D" w14:textId="372C3A3F" w:rsidR="003B5B79" w:rsidRPr="003B5B79" w:rsidRDefault="00996659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3B5B79">
        <w:rPr>
          <w:rFonts w:eastAsia="Montserrat Light"/>
          <w:sz w:val="22"/>
          <w:szCs w:val="22"/>
        </w:rPr>
        <w:t xml:space="preserve">Výnosy Skupiny za první </w:t>
      </w:r>
      <w:r w:rsidR="003C7405" w:rsidRPr="003B5B79">
        <w:rPr>
          <w:rFonts w:eastAsia="Montserrat Light"/>
          <w:sz w:val="22"/>
          <w:szCs w:val="22"/>
        </w:rPr>
        <w:t xml:space="preserve">polovinu roku </w:t>
      </w:r>
      <w:r w:rsidRPr="003B5B79">
        <w:rPr>
          <w:rFonts w:eastAsia="Montserrat Light"/>
          <w:sz w:val="22"/>
          <w:szCs w:val="22"/>
        </w:rPr>
        <w:t>202</w:t>
      </w:r>
      <w:r w:rsidR="003B5B79" w:rsidRPr="003B5B79">
        <w:rPr>
          <w:rFonts w:eastAsia="Montserrat Light"/>
          <w:sz w:val="22"/>
          <w:szCs w:val="22"/>
        </w:rPr>
        <w:t>5</w:t>
      </w:r>
      <w:r w:rsidRPr="003B5B79">
        <w:rPr>
          <w:rFonts w:eastAsia="Montserrat Light"/>
          <w:sz w:val="22"/>
          <w:szCs w:val="22"/>
        </w:rPr>
        <w:t xml:space="preserve"> </w:t>
      </w:r>
      <w:r w:rsidR="004813A9" w:rsidRPr="003B5B79">
        <w:rPr>
          <w:rFonts w:eastAsia="Montserrat Light"/>
          <w:sz w:val="22"/>
          <w:szCs w:val="22"/>
        </w:rPr>
        <w:t xml:space="preserve">dosáhly </w:t>
      </w:r>
      <w:r w:rsidR="003B5B79" w:rsidRPr="003B5B79">
        <w:rPr>
          <w:rFonts w:eastAsia="Montserrat Light"/>
          <w:sz w:val="22"/>
          <w:szCs w:val="22"/>
        </w:rPr>
        <w:t>11</w:t>
      </w:r>
      <w:r w:rsidR="004813A9" w:rsidRPr="003B5B79">
        <w:rPr>
          <w:w w:val="0"/>
          <w:sz w:val="22"/>
          <w:szCs w:val="22"/>
        </w:rPr>
        <w:t xml:space="preserve"> </w:t>
      </w:r>
      <w:r w:rsidR="00E7001E" w:rsidRPr="003B5B79">
        <w:rPr>
          <w:w w:val="0"/>
          <w:sz w:val="22"/>
          <w:szCs w:val="22"/>
        </w:rPr>
        <w:t>m</w:t>
      </w:r>
      <w:r w:rsidR="000F67A7">
        <w:rPr>
          <w:w w:val="0"/>
          <w:sz w:val="22"/>
          <w:szCs w:val="22"/>
        </w:rPr>
        <w:t>ld</w:t>
      </w:r>
      <w:r w:rsidR="004813A9" w:rsidRPr="003B5B79">
        <w:rPr>
          <w:w w:val="0"/>
          <w:sz w:val="22"/>
          <w:szCs w:val="22"/>
        </w:rPr>
        <w:t>. Kč</w:t>
      </w:r>
      <w:r w:rsidR="0083274B" w:rsidRPr="003B5B79">
        <w:rPr>
          <w:w w:val="0"/>
          <w:sz w:val="22"/>
          <w:szCs w:val="22"/>
        </w:rPr>
        <w:t xml:space="preserve">, </w:t>
      </w:r>
      <w:r w:rsidR="003461FE" w:rsidRPr="003B5B79">
        <w:rPr>
          <w:w w:val="0"/>
          <w:sz w:val="22"/>
          <w:szCs w:val="22"/>
        </w:rPr>
        <w:t xml:space="preserve">meziročně o </w:t>
      </w:r>
      <w:r w:rsidR="003B5B79" w:rsidRPr="003B5B79">
        <w:rPr>
          <w:w w:val="0"/>
          <w:sz w:val="22"/>
          <w:szCs w:val="22"/>
        </w:rPr>
        <w:t>13,7</w:t>
      </w:r>
      <w:r w:rsidR="00181A0B" w:rsidRPr="003B5B79">
        <w:rPr>
          <w:w w:val="0"/>
          <w:sz w:val="22"/>
          <w:szCs w:val="22"/>
        </w:rPr>
        <w:t xml:space="preserve"> </w:t>
      </w:r>
      <w:r w:rsidR="003461FE" w:rsidRPr="003B5B79">
        <w:rPr>
          <w:w w:val="0"/>
          <w:sz w:val="22"/>
          <w:szCs w:val="22"/>
        </w:rPr>
        <w:t>% více</w:t>
      </w:r>
      <w:r w:rsidR="00DC5BFA" w:rsidRPr="003B5B79">
        <w:rPr>
          <w:w w:val="0"/>
          <w:sz w:val="22"/>
          <w:szCs w:val="22"/>
        </w:rPr>
        <w:t xml:space="preserve">. </w:t>
      </w:r>
      <w:r w:rsidR="003C7405" w:rsidRPr="003B5B79">
        <w:rPr>
          <w:w w:val="0"/>
          <w:sz w:val="22"/>
          <w:szCs w:val="22"/>
        </w:rPr>
        <w:t>Důvodem</w:t>
      </w:r>
      <w:r w:rsidR="003B5B79">
        <w:rPr>
          <w:w w:val="0"/>
          <w:sz w:val="22"/>
          <w:szCs w:val="22"/>
        </w:rPr>
        <w:t xml:space="preserve"> byl</w:t>
      </w:r>
      <w:r w:rsidR="003C7405" w:rsidRPr="003B5B79">
        <w:rPr>
          <w:w w:val="0"/>
          <w:sz w:val="22"/>
          <w:szCs w:val="22"/>
        </w:rPr>
        <w:t xml:space="preserve"> </w:t>
      </w:r>
      <w:bookmarkStart w:id="0" w:name="_Hlk98740338"/>
      <w:r w:rsidR="003B5B79" w:rsidRPr="003B5B79">
        <w:rPr>
          <w:w w:val="0"/>
          <w:sz w:val="22"/>
          <w:szCs w:val="22"/>
        </w:rPr>
        <w:t>růst v segmentu munice a konsolidace společnosti Sellier &amp; Bellot za celé první pololetí 2025</w:t>
      </w:r>
      <w:r w:rsidR="000F67A7">
        <w:rPr>
          <w:w w:val="0"/>
          <w:sz w:val="22"/>
          <w:szCs w:val="22"/>
        </w:rPr>
        <w:t>.</w:t>
      </w:r>
    </w:p>
    <w:p w14:paraId="4D786194" w14:textId="64351F1D" w:rsidR="003C7405" w:rsidRPr="003B5B79" w:rsidRDefault="003C7405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3B5B79">
        <w:rPr>
          <w:rFonts w:eastAsia="Montserrat Light"/>
          <w:sz w:val="22"/>
          <w:szCs w:val="22"/>
        </w:rPr>
        <w:t>Upravená EBITDA v prvním pololetí 202</w:t>
      </w:r>
      <w:r w:rsidR="003B5B79">
        <w:rPr>
          <w:rFonts w:eastAsia="Montserrat Light"/>
          <w:sz w:val="22"/>
          <w:szCs w:val="22"/>
        </w:rPr>
        <w:t>5</w:t>
      </w:r>
      <w:r w:rsidRPr="003B5B79">
        <w:rPr>
          <w:rFonts w:eastAsia="Montserrat Light"/>
          <w:sz w:val="22"/>
          <w:szCs w:val="22"/>
        </w:rPr>
        <w:t xml:space="preserve"> činila </w:t>
      </w:r>
      <w:r w:rsidR="003B5B79">
        <w:rPr>
          <w:rFonts w:eastAsia="Montserrat Light"/>
          <w:sz w:val="22"/>
          <w:szCs w:val="22"/>
        </w:rPr>
        <w:t>2 361,1</w:t>
      </w:r>
      <w:r w:rsidRPr="003B5B79">
        <w:rPr>
          <w:rFonts w:eastAsia="Montserrat Light"/>
          <w:sz w:val="22"/>
          <w:szCs w:val="22"/>
        </w:rPr>
        <w:t xml:space="preserve"> mil. Kč, což je o </w:t>
      </w:r>
      <w:r w:rsidR="003B5B79">
        <w:rPr>
          <w:rFonts w:eastAsia="Montserrat Light"/>
          <w:sz w:val="22"/>
          <w:szCs w:val="22"/>
        </w:rPr>
        <w:t>19,2</w:t>
      </w:r>
      <w:r w:rsidRPr="003B5B79">
        <w:rPr>
          <w:rFonts w:eastAsia="Montserrat Light"/>
          <w:sz w:val="22"/>
          <w:szCs w:val="22"/>
        </w:rPr>
        <w:t xml:space="preserve"> % meziročně více ve srovnání s ukazatelem </w:t>
      </w:r>
      <w:r w:rsidR="005E10AF">
        <w:rPr>
          <w:rFonts w:eastAsia="Montserrat Light"/>
          <w:sz w:val="22"/>
          <w:szCs w:val="22"/>
        </w:rPr>
        <w:t>u</w:t>
      </w:r>
      <w:r w:rsidR="005E10AF" w:rsidRPr="003B5B79">
        <w:rPr>
          <w:rFonts w:eastAsia="Montserrat Light"/>
          <w:sz w:val="22"/>
          <w:szCs w:val="22"/>
        </w:rPr>
        <w:t xml:space="preserve">pravené </w:t>
      </w:r>
      <w:r w:rsidRPr="003B5B79">
        <w:rPr>
          <w:rFonts w:eastAsia="Montserrat Light"/>
          <w:sz w:val="22"/>
          <w:szCs w:val="22"/>
        </w:rPr>
        <w:t xml:space="preserve">EBITDA za loňské srovnávací období. </w:t>
      </w:r>
    </w:p>
    <w:bookmarkEnd w:id="0"/>
    <w:p w14:paraId="6A5E9871" w14:textId="37A930B2" w:rsidR="00311276" w:rsidRDefault="4CD52E89" w:rsidP="6D80ED21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6D80ED21">
        <w:rPr>
          <w:rFonts w:eastAsia="Montserrat Light"/>
          <w:sz w:val="22"/>
          <w:szCs w:val="22"/>
        </w:rPr>
        <w:t>Čistý z</w:t>
      </w:r>
      <w:r w:rsidR="00311276" w:rsidRPr="6D80ED21">
        <w:rPr>
          <w:rFonts w:eastAsia="Montserrat Light"/>
          <w:sz w:val="22"/>
          <w:szCs w:val="22"/>
        </w:rPr>
        <w:t>isk za šest měsíců do 30. června 202</w:t>
      </w:r>
      <w:r w:rsidR="003B5B79">
        <w:rPr>
          <w:rFonts w:eastAsia="Montserrat Light"/>
          <w:sz w:val="22"/>
          <w:szCs w:val="22"/>
        </w:rPr>
        <w:t>5</w:t>
      </w:r>
      <w:r w:rsidR="00311276" w:rsidRPr="6D80ED21">
        <w:rPr>
          <w:rFonts w:eastAsia="Montserrat Light"/>
          <w:sz w:val="22"/>
          <w:szCs w:val="22"/>
        </w:rPr>
        <w:t xml:space="preserve"> se </w:t>
      </w:r>
      <w:r w:rsidR="003B5B79">
        <w:rPr>
          <w:rFonts w:eastAsia="Montserrat Light"/>
          <w:sz w:val="22"/>
          <w:szCs w:val="22"/>
        </w:rPr>
        <w:t>zvýšil</w:t>
      </w:r>
      <w:r w:rsidR="00311276" w:rsidRPr="6D80ED21">
        <w:rPr>
          <w:rFonts w:eastAsia="Montserrat Light"/>
          <w:sz w:val="22"/>
          <w:szCs w:val="22"/>
        </w:rPr>
        <w:t xml:space="preserve"> ve srovnání se stejným obdobím roku 202</w:t>
      </w:r>
      <w:r w:rsidR="003B5B79">
        <w:rPr>
          <w:rFonts w:eastAsia="Montserrat Light"/>
          <w:sz w:val="22"/>
          <w:szCs w:val="22"/>
        </w:rPr>
        <w:t>4</w:t>
      </w:r>
      <w:r w:rsidR="00311276" w:rsidRPr="6D80ED21">
        <w:rPr>
          <w:rFonts w:eastAsia="Montserrat Light"/>
          <w:sz w:val="22"/>
          <w:szCs w:val="22"/>
        </w:rPr>
        <w:t xml:space="preserve"> o </w:t>
      </w:r>
      <w:r w:rsidR="003B5B79">
        <w:rPr>
          <w:rFonts w:eastAsia="Montserrat Light"/>
          <w:sz w:val="22"/>
          <w:szCs w:val="22"/>
        </w:rPr>
        <w:t>50</w:t>
      </w:r>
      <w:r w:rsidR="00311276" w:rsidRPr="6D80ED21">
        <w:rPr>
          <w:rFonts w:eastAsia="Montserrat Light"/>
          <w:sz w:val="22"/>
          <w:szCs w:val="22"/>
        </w:rPr>
        <w:t>,</w:t>
      </w:r>
      <w:r w:rsidR="003B5B79">
        <w:rPr>
          <w:rFonts w:eastAsia="Montserrat Light"/>
          <w:sz w:val="22"/>
          <w:szCs w:val="22"/>
        </w:rPr>
        <w:t>8</w:t>
      </w:r>
      <w:r w:rsidR="00311276" w:rsidRPr="6D80ED21">
        <w:rPr>
          <w:rFonts w:eastAsia="Montserrat Light"/>
          <w:sz w:val="22"/>
          <w:szCs w:val="22"/>
        </w:rPr>
        <w:t xml:space="preserve"> %, na hodnotu </w:t>
      </w:r>
      <w:r w:rsidR="003B5B79">
        <w:rPr>
          <w:rFonts w:eastAsia="Montserrat Light"/>
          <w:sz w:val="22"/>
          <w:szCs w:val="22"/>
        </w:rPr>
        <w:t>91</w:t>
      </w:r>
      <w:r w:rsidR="00311276" w:rsidRPr="6D80ED21">
        <w:rPr>
          <w:rFonts w:eastAsia="Montserrat Light"/>
          <w:sz w:val="22"/>
          <w:szCs w:val="22"/>
        </w:rPr>
        <w:t>9,</w:t>
      </w:r>
      <w:r w:rsidR="003B5B79">
        <w:rPr>
          <w:rFonts w:eastAsia="Montserrat Light"/>
          <w:sz w:val="22"/>
          <w:szCs w:val="22"/>
        </w:rPr>
        <w:t>3</w:t>
      </w:r>
      <w:r w:rsidR="00311276" w:rsidRPr="6D80ED21">
        <w:rPr>
          <w:rFonts w:eastAsia="Montserrat Light"/>
          <w:sz w:val="22"/>
          <w:szCs w:val="22"/>
        </w:rPr>
        <w:t xml:space="preserve"> mil. Kč</w:t>
      </w:r>
      <w:r w:rsidR="005B6E84" w:rsidRPr="6D80ED21">
        <w:rPr>
          <w:rFonts w:eastAsia="Montserrat Light"/>
          <w:sz w:val="22"/>
          <w:szCs w:val="22"/>
        </w:rPr>
        <w:t>,</w:t>
      </w:r>
      <w:r w:rsidR="003B5B79">
        <w:rPr>
          <w:rFonts w:eastAsia="Montserrat Light"/>
          <w:sz w:val="22"/>
          <w:szCs w:val="22"/>
        </w:rPr>
        <w:t xml:space="preserve"> </w:t>
      </w:r>
      <w:r w:rsidR="003B5B79" w:rsidRPr="003B5B79">
        <w:rPr>
          <w:rFonts w:eastAsia="Montserrat Light"/>
          <w:sz w:val="22"/>
          <w:szCs w:val="22"/>
        </w:rPr>
        <w:t>a to především vlivem silné provozní ziskovosti</w:t>
      </w:r>
      <w:r w:rsidR="003B5B79">
        <w:rPr>
          <w:rFonts w:eastAsia="Montserrat Light"/>
          <w:sz w:val="22"/>
          <w:szCs w:val="22"/>
        </w:rPr>
        <w:t>.</w:t>
      </w:r>
    </w:p>
    <w:p w14:paraId="01E75294" w14:textId="3AA10B7E" w:rsidR="008A6330" w:rsidRPr="005339E8" w:rsidRDefault="000F67A7" w:rsidP="49B67600">
      <w:pPr>
        <w:pStyle w:val="Odrazka1"/>
        <w:numPr>
          <w:ilvl w:val="0"/>
          <w:numId w:val="0"/>
        </w:numPr>
        <w:rPr>
          <w:rFonts w:cs="Calibri"/>
          <w:i/>
          <w:iCs/>
          <w:sz w:val="22"/>
          <w:szCs w:val="22"/>
        </w:rPr>
      </w:pPr>
      <w:r w:rsidRPr="49B67600">
        <w:rPr>
          <w:rFonts w:eastAsia="Montserrat Light"/>
          <w:i/>
          <w:iCs/>
          <w:sz w:val="22"/>
          <w:szCs w:val="22"/>
        </w:rPr>
        <w:t xml:space="preserve">„Nacházíme se v období dramatických geopolitických </w:t>
      </w:r>
      <w:r w:rsidR="00AE4CF1">
        <w:rPr>
          <w:rFonts w:eastAsia="Montserrat Light"/>
          <w:i/>
          <w:iCs/>
          <w:sz w:val="22"/>
          <w:szCs w:val="22"/>
        </w:rPr>
        <w:t xml:space="preserve">a ekonomických </w:t>
      </w:r>
      <w:r w:rsidRPr="49B67600">
        <w:rPr>
          <w:rFonts w:eastAsia="Montserrat Light"/>
          <w:i/>
          <w:iCs/>
          <w:sz w:val="22"/>
          <w:szCs w:val="22"/>
        </w:rPr>
        <w:t>změn, které představují nejen výzvy, ale i příležitosti</w:t>
      </w:r>
      <w:r w:rsidR="00735DA4">
        <w:rPr>
          <w:rFonts w:eastAsia="Montserrat Light"/>
          <w:i/>
          <w:iCs/>
          <w:sz w:val="22"/>
          <w:szCs w:val="22"/>
        </w:rPr>
        <w:t xml:space="preserve"> pro naši Skupinu</w:t>
      </w:r>
      <w:r w:rsidR="001053F0">
        <w:rPr>
          <w:rFonts w:eastAsia="Montserrat Light"/>
          <w:i/>
          <w:iCs/>
          <w:sz w:val="22"/>
          <w:szCs w:val="22"/>
        </w:rPr>
        <w:t>. Jsme</w:t>
      </w:r>
      <w:r w:rsidR="00D74008">
        <w:rPr>
          <w:rFonts w:eastAsia="Montserrat Light"/>
          <w:i/>
          <w:iCs/>
          <w:sz w:val="22"/>
          <w:szCs w:val="22"/>
        </w:rPr>
        <w:t xml:space="preserve"> </w:t>
      </w:r>
      <w:r w:rsidR="00D74008" w:rsidRPr="00370935">
        <w:rPr>
          <w:rFonts w:eastAsia="Montserrat Light"/>
          <w:i/>
          <w:iCs/>
          <w:sz w:val="22"/>
          <w:szCs w:val="22"/>
        </w:rPr>
        <w:t>spolehliv</w:t>
      </w:r>
      <w:r w:rsidR="00D74008">
        <w:rPr>
          <w:rFonts w:eastAsia="Montserrat Light"/>
          <w:i/>
          <w:iCs/>
          <w:sz w:val="22"/>
          <w:szCs w:val="22"/>
        </w:rPr>
        <w:t>ým</w:t>
      </w:r>
      <w:r w:rsidR="00370935" w:rsidRPr="00370935">
        <w:rPr>
          <w:rFonts w:eastAsia="Montserrat Light"/>
          <w:i/>
          <w:iCs/>
          <w:sz w:val="22"/>
          <w:szCs w:val="22"/>
        </w:rPr>
        <w:t xml:space="preserve"> partner</w:t>
      </w:r>
      <w:r w:rsidR="00D74008">
        <w:rPr>
          <w:rFonts w:eastAsia="Montserrat Light"/>
          <w:i/>
          <w:iCs/>
          <w:sz w:val="22"/>
          <w:szCs w:val="22"/>
        </w:rPr>
        <w:t>em</w:t>
      </w:r>
      <w:r w:rsidR="00370935" w:rsidRPr="00370935">
        <w:rPr>
          <w:rFonts w:eastAsia="Montserrat Light"/>
          <w:i/>
          <w:iCs/>
          <w:sz w:val="22"/>
          <w:szCs w:val="22"/>
        </w:rPr>
        <w:t xml:space="preserve"> našich dlouhodobých, ale i nových zákazníků z řad spojeneckých zemí. Učinili jsme několik zásadních kroků, které významně upevňují naši roli v obraném průmyslu a posouvají naši Skupinu na novou úroveň.</w:t>
      </w:r>
      <w:r w:rsidRPr="49B67600">
        <w:rPr>
          <w:rFonts w:eastAsia="Montserrat Light"/>
          <w:i/>
          <w:iCs/>
          <w:sz w:val="22"/>
          <w:szCs w:val="22"/>
        </w:rPr>
        <w:t xml:space="preserve"> Akvizice Synthesia Nitrocellulose a Valley Steel Stamp významně posílily naši vertikální integraci v oblasti munice i palných zbraní</w:t>
      </w:r>
      <w:r w:rsidR="003F1BDC">
        <w:rPr>
          <w:rFonts w:eastAsia="Montserrat Light"/>
          <w:i/>
          <w:iCs/>
          <w:sz w:val="22"/>
          <w:szCs w:val="22"/>
        </w:rPr>
        <w:t xml:space="preserve">,“ </w:t>
      </w:r>
      <w:r w:rsidR="003F1BDC" w:rsidRPr="49B67600">
        <w:rPr>
          <w:rFonts w:eastAsia="Montserrat Light"/>
          <w:sz w:val="22"/>
          <w:szCs w:val="22"/>
        </w:rPr>
        <w:t xml:space="preserve">uvedl </w:t>
      </w:r>
      <w:r w:rsidR="003F1BDC" w:rsidRPr="49B67600">
        <w:rPr>
          <w:rFonts w:eastAsia="Montserrat Light"/>
          <w:b/>
          <w:bCs/>
          <w:sz w:val="22"/>
          <w:szCs w:val="22"/>
        </w:rPr>
        <w:t>Jan Drahota, předseda představenstva Colt CZ Group</w:t>
      </w:r>
      <w:r w:rsidR="003F1BDC" w:rsidRPr="49B67600">
        <w:rPr>
          <w:rFonts w:eastAsia="Montserrat Light"/>
          <w:sz w:val="22"/>
          <w:szCs w:val="22"/>
        </w:rPr>
        <w:t>.</w:t>
      </w:r>
      <w:r w:rsidR="003F1BDC" w:rsidRPr="49B67600">
        <w:rPr>
          <w:rFonts w:eastAsia="Montserrat Light"/>
          <w:i/>
          <w:iCs/>
          <w:sz w:val="22"/>
          <w:szCs w:val="22"/>
        </w:rPr>
        <w:t xml:space="preserve"> </w:t>
      </w:r>
      <w:r w:rsidR="007C7E08">
        <w:rPr>
          <w:rFonts w:eastAsia="Montserrat Light"/>
          <w:i/>
          <w:iCs/>
          <w:sz w:val="22"/>
          <w:szCs w:val="22"/>
        </w:rPr>
        <w:t>„</w:t>
      </w:r>
      <w:r w:rsidRPr="49B67600">
        <w:rPr>
          <w:rFonts w:eastAsia="Montserrat Light"/>
          <w:i/>
          <w:iCs/>
          <w:sz w:val="22"/>
          <w:szCs w:val="22"/>
        </w:rPr>
        <w:t>Nové kontrakty s ozbrojenými silami Dánska a České republiky potvrzují naši důvěryhodnost u klíčových partnerů v rámci NATO</w:t>
      </w:r>
      <w:r w:rsidR="003E4413">
        <w:rPr>
          <w:rFonts w:eastAsia="Montserrat Light"/>
          <w:i/>
          <w:iCs/>
          <w:sz w:val="22"/>
          <w:szCs w:val="22"/>
        </w:rPr>
        <w:t>,“</w:t>
      </w:r>
      <w:r w:rsidR="00457CF5">
        <w:rPr>
          <w:rFonts w:eastAsia="Montserrat Light"/>
          <w:i/>
          <w:iCs/>
          <w:sz w:val="22"/>
          <w:szCs w:val="22"/>
        </w:rPr>
        <w:t xml:space="preserve"> </w:t>
      </w:r>
      <w:r w:rsidRPr="49B67600">
        <w:rPr>
          <w:rFonts w:eastAsia="Montserrat Light"/>
          <w:sz w:val="22"/>
          <w:szCs w:val="22"/>
        </w:rPr>
        <w:t xml:space="preserve">dodal </w:t>
      </w:r>
      <w:r w:rsidRPr="49B67600">
        <w:rPr>
          <w:rFonts w:eastAsia="Montserrat Light"/>
          <w:b/>
          <w:bCs/>
          <w:sz w:val="22"/>
          <w:szCs w:val="22"/>
        </w:rPr>
        <w:t>Jan Drahota</w:t>
      </w:r>
      <w:r w:rsidRPr="49B67600">
        <w:rPr>
          <w:rFonts w:eastAsia="Montserrat Light"/>
          <w:sz w:val="22"/>
          <w:szCs w:val="22"/>
        </w:rPr>
        <w:t>.</w:t>
      </w:r>
    </w:p>
    <w:p w14:paraId="2D0454BE" w14:textId="59F08848" w:rsidR="00D804A9" w:rsidRDefault="00D804A9" w:rsidP="002172AB">
      <w:pPr>
        <w:spacing w:before="12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4C474270" w14:textId="30213949" w:rsidR="00D804A9" w:rsidRDefault="00D804A9" w:rsidP="002172AB">
      <w:pPr>
        <w:spacing w:before="12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804A9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Výnosy</w:t>
      </w:r>
      <w:r w:rsidR="00390F96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dle </w:t>
      </w:r>
      <w:r w:rsidR="00CD5C6F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s</w:t>
      </w:r>
      <w:r w:rsidR="00390F96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egmentů</w:t>
      </w:r>
    </w:p>
    <w:p w14:paraId="7BD6AF14" w14:textId="77777777" w:rsidR="006D7314" w:rsidRDefault="006D7314" w:rsidP="00075786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>V</w:t>
      </w:r>
      <w:r w:rsidRPr="00444F87">
        <w:rPr>
          <w:rFonts w:cs="Calibri" w:hint="eastAsia"/>
          <w:color w:val="000000" w:themeColor="text1"/>
          <w:sz w:val="22"/>
          <w:szCs w:val="22"/>
          <w:shd w:val="clear" w:color="auto" w:fill="FFFFFF"/>
        </w:rPr>
        <w:t>ý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>nosy segmentu munice se v prvn</w:t>
      </w:r>
      <w:r w:rsidRPr="00444F87">
        <w:rPr>
          <w:rFonts w:cs="Calibri" w:hint="eastAsia"/>
          <w:color w:val="000000" w:themeColor="text1"/>
          <w:sz w:val="22"/>
          <w:szCs w:val="22"/>
          <w:shd w:val="clear" w:color="auto" w:fill="FFFFFF"/>
        </w:rPr>
        <w:t>í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>m pololet</w:t>
      </w:r>
      <w:r w:rsidRPr="00444F87">
        <w:rPr>
          <w:rFonts w:cs="Calibri" w:hint="eastAsia"/>
          <w:color w:val="000000" w:themeColor="text1"/>
          <w:sz w:val="22"/>
          <w:szCs w:val="22"/>
          <w:shd w:val="clear" w:color="auto" w:fill="FFFFFF"/>
        </w:rPr>
        <w:t>í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2025 k 30. </w:t>
      </w:r>
      <w:r w:rsidRPr="00444F87">
        <w:rPr>
          <w:rFonts w:cs="Calibri" w:hint="eastAsia"/>
          <w:color w:val="000000" w:themeColor="text1"/>
          <w:sz w:val="22"/>
          <w:szCs w:val="22"/>
          <w:shd w:val="clear" w:color="auto" w:fill="FFFFFF"/>
        </w:rPr>
        <w:t>č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>ervnu 2025 zv</w:t>
      </w:r>
      <w:r w:rsidRPr="00444F87">
        <w:rPr>
          <w:rFonts w:cs="Calibri" w:hint="eastAsia"/>
          <w:color w:val="000000" w:themeColor="text1"/>
          <w:sz w:val="22"/>
          <w:szCs w:val="22"/>
          <w:shd w:val="clear" w:color="auto" w:fill="FFFFFF"/>
        </w:rPr>
        <w:t>ýš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>ily o 183,6 %, na celkovou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444F87">
        <w:rPr>
          <w:rFonts w:cs="Calibri" w:hint="eastAsia"/>
          <w:color w:val="000000" w:themeColor="text1"/>
          <w:sz w:val="22"/>
          <w:szCs w:val="22"/>
          <w:shd w:val="clear" w:color="auto" w:fill="FFFFFF"/>
        </w:rPr>
        <w:t>čá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>stku 5,2 mld. K</w:t>
      </w:r>
      <w:r w:rsidRPr="00444F87">
        <w:rPr>
          <w:rFonts w:cs="Calibri" w:hint="eastAsia"/>
          <w:color w:val="000000" w:themeColor="text1"/>
          <w:sz w:val="22"/>
          <w:szCs w:val="22"/>
          <w:shd w:val="clear" w:color="auto" w:fill="FFFFFF"/>
        </w:rPr>
        <w:t>č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>, z d</w:t>
      </w:r>
      <w:r w:rsidRPr="00444F87">
        <w:rPr>
          <w:rFonts w:cs="Calibri" w:hint="eastAsia"/>
          <w:color w:val="000000" w:themeColor="text1"/>
          <w:sz w:val="22"/>
          <w:szCs w:val="22"/>
          <w:shd w:val="clear" w:color="auto" w:fill="FFFFFF"/>
        </w:rPr>
        <w:t>ů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>vodu pln</w:t>
      </w:r>
      <w:r w:rsidRPr="00444F87">
        <w:rPr>
          <w:rFonts w:cs="Calibri" w:hint="eastAsia"/>
          <w:color w:val="000000" w:themeColor="text1"/>
          <w:sz w:val="22"/>
          <w:szCs w:val="22"/>
          <w:shd w:val="clear" w:color="auto" w:fill="FFFFFF"/>
        </w:rPr>
        <w:t>é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konsolidace spole</w:t>
      </w:r>
      <w:r w:rsidRPr="00444F87">
        <w:rPr>
          <w:rFonts w:cs="Calibri" w:hint="eastAsia"/>
          <w:color w:val="000000" w:themeColor="text1"/>
          <w:sz w:val="22"/>
          <w:szCs w:val="22"/>
          <w:shd w:val="clear" w:color="auto" w:fill="FFFFFF"/>
        </w:rPr>
        <w:t>č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>nosti Sellier &amp; Bellot v prvn</w:t>
      </w:r>
      <w:r w:rsidRPr="00444F87">
        <w:rPr>
          <w:rFonts w:cs="Calibri" w:hint="eastAsia"/>
          <w:color w:val="000000" w:themeColor="text1"/>
          <w:sz w:val="22"/>
          <w:szCs w:val="22"/>
          <w:shd w:val="clear" w:color="auto" w:fill="FFFFFF"/>
        </w:rPr>
        <w:t>í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polovin</w:t>
      </w:r>
      <w:r w:rsidRPr="00444F87">
        <w:rPr>
          <w:rFonts w:cs="Calibri" w:hint="eastAsia"/>
          <w:color w:val="000000" w:themeColor="text1"/>
          <w:sz w:val="22"/>
          <w:szCs w:val="22"/>
          <w:shd w:val="clear" w:color="auto" w:fill="FFFFFF"/>
        </w:rPr>
        <w:t>ě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roku 2025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>a organick</w:t>
      </w:r>
      <w:r w:rsidRPr="00444F87">
        <w:rPr>
          <w:rFonts w:cs="Calibri" w:hint="eastAsia"/>
          <w:color w:val="000000" w:themeColor="text1"/>
          <w:sz w:val="22"/>
          <w:szCs w:val="22"/>
          <w:shd w:val="clear" w:color="auto" w:fill="FFFFFF"/>
        </w:rPr>
        <w:t>é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>ho r</w:t>
      </w:r>
      <w:r w:rsidRPr="00444F87">
        <w:rPr>
          <w:rFonts w:cs="Calibri" w:hint="eastAsia"/>
          <w:color w:val="000000" w:themeColor="text1"/>
          <w:sz w:val="22"/>
          <w:szCs w:val="22"/>
          <w:shd w:val="clear" w:color="auto" w:fill="FFFFFF"/>
        </w:rPr>
        <w:t>ů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>stu v segmentu munice obecn</w:t>
      </w:r>
      <w:r w:rsidRPr="00444F87">
        <w:rPr>
          <w:rFonts w:cs="Calibri" w:hint="eastAsia"/>
          <w:color w:val="000000" w:themeColor="text1"/>
          <w:sz w:val="22"/>
          <w:szCs w:val="22"/>
          <w:shd w:val="clear" w:color="auto" w:fill="FFFFFF"/>
        </w:rPr>
        <w:t>ě</w:t>
      </w:r>
      <w:r w:rsidRPr="00444F87">
        <w:rPr>
          <w:rFonts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1E485FD8" w14:textId="4B795285" w:rsidR="00075786" w:rsidRDefault="00CC5EB2" w:rsidP="00075786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CC5EB2">
        <w:rPr>
          <w:rFonts w:cs="Calibri"/>
          <w:color w:val="000000" w:themeColor="text1"/>
          <w:sz w:val="22"/>
          <w:szCs w:val="22"/>
          <w:shd w:val="clear" w:color="auto" w:fill="FFFFFF"/>
        </w:rPr>
        <w:t>Výnosy segmentu palných zbraní se v prvním pololetí 2025 snížily o 26,0 % na 5,8 miliardy Kč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, klesl také </w:t>
      </w:r>
      <w:r w:rsidRPr="00CC5EB2">
        <w:rPr>
          <w:rFonts w:cs="Calibri"/>
          <w:color w:val="000000" w:themeColor="text1"/>
          <w:sz w:val="22"/>
          <w:szCs w:val="22"/>
          <w:shd w:val="clear" w:color="auto" w:fill="FFFFFF"/>
        </w:rPr>
        <w:t>počet prodaných zbraní</w:t>
      </w:r>
      <w:r w:rsidR="003F205C">
        <w:rPr>
          <w:rFonts w:cs="Calibri"/>
          <w:color w:val="000000" w:themeColor="text1"/>
          <w:sz w:val="22"/>
          <w:szCs w:val="22"/>
          <w:shd w:val="clear" w:color="auto" w:fill="FFFFFF"/>
        </w:rPr>
        <w:t>, a to</w:t>
      </w:r>
      <w:r w:rsidRPr="00CC5EB2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o 10,3 % na 289 984 kusů. Prodej dlouhých palných zbraní se meziročně snížil o 16,7 % na 114 845 kusů, zatímco prodej krátkých zbraní klesl o 5,6 % na 175 139 kusů.</w:t>
      </w:r>
      <w:r w:rsidR="0007578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075786" w:rsidRPr="0007578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Pokles byl způsoben především oslabením </w:t>
      </w:r>
      <w:r w:rsidR="00075786" w:rsidRPr="005E10AF">
        <w:rPr>
          <w:rFonts w:cs="Calibri"/>
          <w:color w:val="000000" w:themeColor="text1"/>
          <w:sz w:val="22"/>
          <w:szCs w:val="22"/>
          <w:shd w:val="clear" w:color="auto" w:fill="FFFFFF"/>
        </w:rPr>
        <w:t>amerického komerčního trhu u značky Colt</w:t>
      </w:r>
      <w:r w:rsidR="00075786" w:rsidRPr="0007578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a posunem některých plánovaných zakázek </w:t>
      </w:r>
      <w:r w:rsidR="0007578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společností Colt a Česká zbrojovka pro ozbrojené složky </w:t>
      </w:r>
      <w:r w:rsidR="00075786" w:rsidRPr="0007578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do </w:t>
      </w:r>
      <w:r w:rsidR="00075786" w:rsidRPr="00075786">
        <w:rPr>
          <w:rFonts w:cs="Calibri"/>
          <w:color w:val="000000" w:themeColor="text1"/>
          <w:sz w:val="22"/>
          <w:szCs w:val="22"/>
          <w:shd w:val="clear" w:color="auto" w:fill="FFFFFF"/>
        </w:rPr>
        <w:lastRenderedPageBreak/>
        <w:t>třetího a čtvrtého čtvrtletí 2025.</w:t>
      </w:r>
      <w:r w:rsidR="0007578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075786" w:rsidRPr="0007578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Naopak u </w:t>
      </w:r>
      <w:r w:rsidR="00075786" w:rsidRPr="005E10AF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zbraní </w:t>
      </w:r>
      <w:r w:rsidR="00075786">
        <w:rPr>
          <w:rFonts w:cs="Calibri"/>
          <w:color w:val="000000" w:themeColor="text1"/>
          <w:sz w:val="22"/>
          <w:szCs w:val="22"/>
          <w:shd w:val="clear" w:color="auto" w:fill="FFFFFF"/>
        </w:rPr>
        <w:t>České zbrojovky</w:t>
      </w:r>
      <w:r w:rsidR="00075786" w:rsidRPr="005E10AF">
        <w:rPr>
          <w:rFonts w:cs="Calibri"/>
          <w:color w:val="000000" w:themeColor="text1"/>
          <w:sz w:val="22"/>
          <w:szCs w:val="22"/>
          <w:shd w:val="clear" w:color="auto" w:fill="FFFFFF"/>
        </w:rPr>
        <w:t>, zejména u pistolí, došlo k růstu prodejů na americkém komerčním trhu</w:t>
      </w:r>
      <w:r w:rsidR="00075786" w:rsidRPr="00075786">
        <w:rPr>
          <w:rFonts w:cs="Calibri"/>
          <w:color w:val="000000" w:themeColor="text1"/>
          <w:sz w:val="22"/>
          <w:szCs w:val="22"/>
          <w:shd w:val="clear" w:color="auto" w:fill="FFFFFF"/>
        </w:rPr>
        <w:t>. Společnost Colt Canada jako jediná entita v segmentu palných zbraní zaznamenala meziroční růst a dosáhla historicky rekordních výsledků.</w:t>
      </w:r>
    </w:p>
    <w:p w14:paraId="32D3469B" w14:textId="12257BDE" w:rsidR="00390F96" w:rsidRDefault="00390F96" w:rsidP="002172AB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Výnosy </w:t>
      </w:r>
      <w:r w:rsidR="00CD5C6F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dle regionů</w:t>
      </w:r>
    </w:p>
    <w:p w14:paraId="03ACCC2D" w14:textId="77777777" w:rsidR="00880E98" w:rsidRDefault="00CC45E3" w:rsidP="00CC45E3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>Výnosy v ČR k 30. červnu 2025 poklesly o 38,4 %, na 1 377,5 mil. Kč. Tento pokles vychází z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> 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>vysoké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srovnávací základny vzhledem k velkým dodávkám Ministerstvu obrany ČR v loňském roce. </w:t>
      </w:r>
    </w:p>
    <w:p w14:paraId="02E57D23" w14:textId="7C8FB21F" w:rsidR="00533087" w:rsidRDefault="00CC45E3" w:rsidP="00CC45E3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>Výnosy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>dosažené v Evropě (vyjma ČR) za šest měsíců do 30. června 2025 vzrostly o 103,3 %, na 3 962,8 mil. Kč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díky konsolidaci společnosti Sellier &amp; Bellot od 16. května 2024. </w:t>
      </w:r>
    </w:p>
    <w:p w14:paraId="3E5DE122" w14:textId="16B6CA35" w:rsidR="00373013" w:rsidRDefault="00CC45E3" w:rsidP="00CC45E3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>Výnosy z prodejů ve Spojených státech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v prvním pololetí 2025 k 30. červnu 2025 meziročně poklesly o 3,9 %, na 4 028,2 mil. Kč, </w:t>
      </w:r>
      <w:r w:rsidR="005F7AF0">
        <w:rPr>
          <w:rFonts w:cs="Calibri"/>
          <w:color w:val="000000" w:themeColor="text1"/>
          <w:sz w:val="22"/>
          <w:szCs w:val="22"/>
          <w:shd w:val="clear" w:color="auto" w:fill="FFFFFF"/>
        </w:rPr>
        <w:t>vlivem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primárně oslabení amerického komerčního trhu v segmentu palných zbraní. </w:t>
      </w:r>
    </w:p>
    <w:p w14:paraId="3BD0FB12" w14:textId="77777777" w:rsidR="007A756C" w:rsidRDefault="00CC45E3" w:rsidP="00CC45E3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>Výnosy realizované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v Kanadě za první pololetí 2025 činily 527,9 milionu Kč, což je o 8,0 % meziročně více. </w:t>
      </w:r>
    </w:p>
    <w:p w14:paraId="2D0D0711" w14:textId="77777777" w:rsidR="001D01A5" w:rsidRDefault="00CC45E3" w:rsidP="00CC45E3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>Výnosy dosažené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>v Africe vzrostly za šest měsíců do 30. června 2025 o 136,1 %, na 132,2 mil. Kč díky novým objednávkám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ze segmentu zbraní i munice. </w:t>
      </w:r>
    </w:p>
    <w:p w14:paraId="099529B2" w14:textId="77777777" w:rsidR="00E8738D" w:rsidRDefault="00CC45E3" w:rsidP="00CC45E3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>Výnosy v Asii se za šest měsíců do 30. června 2025 zvýšily o 82,5 %,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>na hodnotu 656,8 mil. Kč</w:t>
      </w:r>
      <w:r w:rsidR="00DB0BA0">
        <w:rPr>
          <w:rFonts w:cs="Calibri"/>
          <w:color w:val="000000" w:themeColor="text1"/>
          <w:sz w:val="22"/>
          <w:szCs w:val="22"/>
          <w:shd w:val="clear" w:color="auto" w:fill="FFFFFF"/>
        </w:rPr>
        <w:t>,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především vlivem konsolidace Sellier &amp; Bellot a vyšších výnosů v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> 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>segmentu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munice. </w:t>
      </w:r>
    </w:p>
    <w:p w14:paraId="06938AEB" w14:textId="170ED7F3" w:rsidR="00CC45E3" w:rsidRDefault="00CC45E3" w:rsidP="00CC45E3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>V regionu Latinská Amerika činily prodeje za prvních šest měsíců 2025 274,2 mil. Kč, o 30,2</w:t>
      </w:r>
      <w:r w:rsidR="00F37B22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>%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>meziročně méně. Prodeje do ostatních regionů dosáhly 55,1 mil. Kč, meziročně o 245,2 % více, díky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C45E3">
        <w:rPr>
          <w:rFonts w:cs="Calibri"/>
          <w:color w:val="000000" w:themeColor="text1"/>
          <w:sz w:val="22"/>
          <w:szCs w:val="22"/>
          <w:shd w:val="clear" w:color="auto" w:fill="FFFFFF"/>
        </w:rPr>
        <w:t>novým objednávkám v obou segmentech.</w:t>
      </w:r>
    </w:p>
    <w:p w14:paraId="54D3B804" w14:textId="7675E0EE" w:rsidR="003D6FFA" w:rsidRDefault="003A31FC" w:rsidP="002172AB">
      <w:pPr>
        <w:keepNext/>
        <w:spacing w:before="24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Akvizice</w:t>
      </w:r>
      <w:r w:rsidR="00BC6C2E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VSS</w:t>
      </w:r>
    </w:p>
    <w:p w14:paraId="3E814A8B" w14:textId="2D165A70" w:rsidR="00055A34" w:rsidRPr="00037830" w:rsidRDefault="002E7BBB" w:rsidP="00055A34">
      <w:pPr>
        <w:keepNext/>
        <w:spacing w:before="24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2E7BBB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Dne 16. června 2025 Colt CZ koupila společnost Valley Steel Stamp Inc., se sídlem v Massachusetts. </w:t>
      </w:r>
      <w:r w:rsidR="00EC7841" w:rsidRPr="002E7BBB">
        <w:rPr>
          <w:rFonts w:cs="Calibri"/>
          <w:color w:val="000000" w:themeColor="text1"/>
          <w:sz w:val="22"/>
          <w:szCs w:val="22"/>
          <w:shd w:val="clear" w:color="auto" w:fill="FFFFFF"/>
        </w:rPr>
        <w:t>Kupní cena plně uhrazená při uzavření transakce činila 59,5 milionu USD před úpravou o provozní kapitál a peníze</w:t>
      </w:r>
      <w:r w:rsidR="00EC7841">
        <w:rPr>
          <w:rFonts w:cs="Calibri"/>
          <w:color w:val="000000" w:themeColor="text1"/>
          <w:sz w:val="22"/>
          <w:szCs w:val="22"/>
          <w:shd w:val="clear" w:color="auto" w:fill="FFFFFF"/>
        </w:rPr>
        <w:t>.</w:t>
      </w:r>
      <w:r w:rsidR="00316E9D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316E9D" w:rsidRPr="4522035B">
        <w:rPr>
          <w:rFonts w:cs="Calibri"/>
          <w:color w:val="000000" w:themeColor="text1"/>
          <w:sz w:val="22"/>
          <w:szCs w:val="22"/>
        </w:rPr>
        <w:t>Transakce byla financována výhradně ze stávajících hotovostních zdrojů Společnosti.</w:t>
      </w:r>
      <w:r w:rsidR="00EC7841" w:rsidRPr="002E7BBB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2E7BBB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Společnost VSS je zavedený výrobce součástek pro střelné zbraně a dlouhodobý dodavatel skupiny Colt CZ ve Spojených státech. Společnost sídlí v Greenfieldu ve státu Massachusetts a zaměstnává přibližně 150 lidí. V roce 2024 VSS dosáhla tržeb ve výši 44,3 milionu USD z činností spojených s výrobou zbraní. </w:t>
      </w:r>
    </w:p>
    <w:p w14:paraId="04273371" w14:textId="5B3AAC8F" w:rsidR="00BC6C2E" w:rsidRDefault="00BC6C2E" w:rsidP="002172AB">
      <w:pPr>
        <w:keepNext/>
        <w:spacing w:before="24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Akvizice Synthesia </w:t>
      </w:r>
      <w:proofErr w:type="spellStart"/>
      <w:r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Nitrocellulose</w:t>
      </w:r>
      <w:proofErr w:type="spellEnd"/>
    </w:p>
    <w:p w14:paraId="77CF66AB" w14:textId="219B7055" w:rsidR="00BC6C2E" w:rsidRDefault="00BC6C2E" w:rsidP="002172AB">
      <w:pPr>
        <w:keepNext/>
        <w:spacing w:before="24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Dne </w:t>
      </w:r>
      <w:r w:rsidRPr="00BC6C2E">
        <w:rPr>
          <w:rFonts w:cs="Calibri"/>
          <w:color w:val="000000" w:themeColor="text1"/>
          <w:sz w:val="22"/>
          <w:szCs w:val="22"/>
          <w:shd w:val="clear" w:color="auto" w:fill="FFFFFF"/>
        </w:rPr>
        <w:t>28. srpna 2025 uzavřela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skupina Colt CZ</w:t>
      </w:r>
      <w:r w:rsidRPr="00BC6C2E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smlouvu o koupi a prodeji akcií se společností Synthesia, a.s., 100% vlastněné společností Kaprain Chemical Limited, </w:t>
      </w:r>
      <w:r w:rsidRPr="00BC6C2E">
        <w:rPr>
          <w:rFonts w:cs="Calibri"/>
          <w:color w:val="000000" w:themeColor="text1"/>
          <w:sz w:val="22"/>
          <w:szCs w:val="22"/>
          <w:shd w:val="clear" w:color="auto" w:fill="FFFFFF"/>
        </w:rPr>
        <w:lastRenderedPageBreak/>
        <w:t>o koupi společnosti Synthesia Nitrocellulose, a.s. 51% podíl získává Colt CZ nyní, zbývajících 49 % za již dohodnutých podmínek ve střednědobém horizontu.</w:t>
      </w:r>
    </w:p>
    <w:p w14:paraId="5CFE5F06" w14:textId="212DEA25" w:rsidR="00BC6C2E" w:rsidRDefault="000F7FC8" w:rsidP="002172AB">
      <w:pPr>
        <w:keepNext/>
        <w:spacing w:before="24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0F7FC8">
        <w:rPr>
          <w:rFonts w:cs="Calibri"/>
          <w:color w:val="000000" w:themeColor="text1"/>
          <w:sz w:val="22"/>
          <w:szCs w:val="22"/>
          <w:shd w:val="clear" w:color="auto" w:fill="FFFFFF"/>
        </w:rPr>
        <w:t>Synthesia Nitrocellulose, a.s. je jedním z největších výrobců energetické nitrocelulózy v Evropě a Severní Americe. Energetická nitrocelulóza je základní surovinou pro výrobu jedno a více složkových prachů a výmetných náloží a je zcela zásadní pro výrobu malo-, středně- i velkorážové munice. </w:t>
      </w:r>
    </w:p>
    <w:p w14:paraId="41C21D07" w14:textId="7DAB51AF" w:rsidR="00B91485" w:rsidRDefault="00B91485" w:rsidP="002172AB">
      <w:pPr>
        <w:keepNext/>
        <w:spacing w:before="24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B91485">
        <w:rPr>
          <w:rFonts w:cs="Calibri"/>
          <w:color w:val="000000" w:themeColor="text1"/>
          <w:sz w:val="22"/>
          <w:szCs w:val="22"/>
          <w:shd w:val="clear" w:color="auto" w:fill="FFFFFF"/>
        </w:rPr>
        <w:t>Celková cena transakce činí 22 miliard Kč na bázi enterprise value, odpovídající přibližně 8</w:t>
      </w:r>
      <w:r w:rsidR="00D42BAB">
        <w:rPr>
          <w:rFonts w:cs="Calibri"/>
          <w:color w:val="000000" w:themeColor="text1"/>
          <w:sz w:val="22"/>
          <w:szCs w:val="22"/>
          <w:shd w:val="clear" w:color="auto" w:fill="FFFFFF"/>
        </w:rPr>
        <w:t>,</w:t>
      </w:r>
      <w:r w:rsidRPr="00B91485">
        <w:rPr>
          <w:rFonts w:cs="Calibri"/>
          <w:color w:val="000000" w:themeColor="text1"/>
          <w:sz w:val="22"/>
          <w:szCs w:val="22"/>
          <w:shd w:val="clear" w:color="auto" w:fill="FFFFFF"/>
        </w:rPr>
        <w:t>.2x násobku očekávané EBITDA za rok 2025. Cena bude uhrazena kombinací peněžitého plnění a emisí nových kmenových akcií Colt CZ, která bude představovat přibližně 40 % kupní ceny. Společnost Kaprain se po dokončení transakce stane třetím největším akcionářem Colt CZ. Vlastníkem zbývajících akcií v SNC zůstane společnost Synthesia, a.s. K vypořádání transakce dojde po splnění odkládacích podmínek, zejména schválení regulatorními orgány v různých zemích, která jsou očekávána nejpozději v prvním čtvrtletí roku 2026.</w:t>
      </w:r>
    </w:p>
    <w:p w14:paraId="2BF23F44" w14:textId="65F6F6ED" w:rsidR="005E60CE" w:rsidRDefault="000B4D88" w:rsidP="002172AB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Vybrané</w:t>
      </w:r>
      <w:r w:rsidR="00F84C00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nové</w:t>
      </w:r>
      <w:r w:rsidR="005E60CE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významné kontrakty</w:t>
      </w:r>
      <w:r w:rsidR="00CA697E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s</w:t>
      </w:r>
      <w:r w:rsidR="009358D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 </w:t>
      </w:r>
      <w:r w:rsidR="00CA697E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o</w:t>
      </w:r>
      <w:r w:rsidR="009358D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zbrojenými silami</w:t>
      </w:r>
    </w:p>
    <w:p w14:paraId="3B131C17" w14:textId="60998FCF" w:rsidR="00D46424" w:rsidRDefault="00D46424" w:rsidP="00D46424">
      <w:pPr>
        <w:keepNext/>
        <w:spacing w:before="24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V srpnu podepsala společnost </w:t>
      </w:r>
      <w:r w:rsidRPr="00884F8A">
        <w:rPr>
          <w:rFonts w:cs="Calibri"/>
          <w:color w:val="000000" w:themeColor="text1"/>
          <w:sz w:val="22"/>
          <w:szCs w:val="22"/>
          <w:shd w:val="clear" w:color="auto" w:fill="FFFFFF"/>
        </w:rPr>
        <w:t>Colt Canada významný kontrakt s Dánskou organizací pro obranné akvizice a logistiku (DALO) na dodávku 26 000 karabin C8 MRR (Modular Rail Rifle).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B52737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Tato dohoda představuje důležité rozšíření dlouhodobého partnerství mezi Dánskem a Kanadou v oblasti ručních palných zbraní. </w:t>
      </w:r>
    </w:p>
    <w:p w14:paraId="46E277EA" w14:textId="745844FC" w:rsidR="000F52A2" w:rsidRPr="000F52A2" w:rsidRDefault="008D63F8" w:rsidP="000F52A2">
      <w:pPr>
        <w:keepNext/>
        <w:spacing w:before="24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>
        <w:rPr>
          <w:rFonts w:cs="Calibri"/>
          <w:color w:val="000000" w:themeColor="text1"/>
          <w:sz w:val="22"/>
          <w:szCs w:val="22"/>
          <w:shd w:val="clear" w:color="auto" w:fill="FFFFFF"/>
        </w:rPr>
        <w:t>V</w:t>
      </w:r>
      <w:r w:rsidR="00C946CE">
        <w:rPr>
          <w:rFonts w:cs="Calibri"/>
          <w:color w:val="000000" w:themeColor="text1"/>
          <w:sz w:val="22"/>
          <w:szCs w:val="22"/>
          <w:shd w:val="clear" w:color="auto" w:fill="FFFFFF"/>
        </w:rPr>
        <w:t> 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>zář</w:t>
      </w:r>
      <w:r w:rsidR="001D184F">
        <w:rPr>
          <w:rFonts w:cs="Calibri"/>
          <w:color w:val="000000" w:themeColor="text1"/>
          <w:sz w:val="22"/>
          <w:szCs w:val="22"/>
          <w:shd w:val="clear" w:color="auto" w:fill="FFFFFF"/>
        </w:rPr>
        <w:t>í</w:t>
      </w:r>
      <w:r w:rsidR="00C946CE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uzavřely </w:t>
      </w:r>
      <w:r w:rsidR="000F52A2" w:rsidRPr="000F52A2">
        <w:rPr>
          <w:rFonts w:cs="Calibri"/>
          <w:color w:val="000000" w:themeColor="text1"/>
          <w:sz w:val="22"/>
          <w:szCs w:val="22"/>
          <w:shd w:val="clear" w:color="auto" w:fill="FFFFFF"/>
        </w:rPr>
        <w:t>Česká zbrojovka a Ministerstvo obrany ČR novou rámcovou smlouvu na dodávky ručních palných zbraní</w:t>
      </w:r>
      <w:r w:rsidR="00EB6E00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(</w:t>
      </w:r>
      <w:r w:rsidR="00EB6E00" w:rsidRPr="000F52A2">
        <w:rPr>
          <w:rFonts w:cs="Calibri"/>
          <w:color w:val="000000" w:themeColor="text1"/>
          <w:sz w:val="22"/>
          <w:szCs w:val="22"/>
          <w:shd w:val="clear" w:color="auto" w:fill="FFFFFF"/>
        </w:rPr>
        <w:t>puš</w:t>
      </w:r>
      <w:r w:rsidR="00EB6E00">
        <w:rPr>
          <w:rFonts w:cs="Calibri"/>
          <w:color w:val="000000" w:themeColor="text1"/>
          <w:sz w:val="22"/>
          <w:szCs w:val="22"/>
          <w:shd w:val="clear" w:color="auto" w:fill="FFFFFF"/>
        </w:rPr>
        <w:t>ky</w:t>
      </w:r>
      <w:r w:rsidR="00EB6E00" w:rsidRPr="000F52A2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CZ BREN 2, pistol</w:t>
      </w:r>
      <w:r w:rsidR="00EB6E00">
        <w:rPr>
          <w:rFonts w:cs="Calibri"/>
          <w:color w:val="000000" w:themeColor="text1"/>
          <w:sz w:val="22"/>
          <w:szCs w:val="22"/>
          <w:shd w:val="clear" w:color="auto" w:fill="FFFFFF"/>
        </w:rPr>
        <w:t>e</w:t>
      </w:r>
      <w:r w:rsidR="00EB6E00" w:rsidRPr="000F52A2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CZ P-10 C a podvěsn</w:t>
      </w:r>
      <w:r w:rsidR="00EB6E00">
        <w:rPr>
          <w:rFonts w:cs="Calibri"/>
          <w:color w:val="000000" w:themeColor="text1"/>
          <w:sz w:val="22"/>
          <w:szCs w:val="22"/>
          <w:shd w:val="clear" w:color="auto" w:fill="FFFFFF"/>
        </w:rPr>
        <w:t>é</w:t>
      </w:r>
      <w:r w:rsidR="00EB6E00" w:rsidRPr="000F52A2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granátomet</w:t>
      </w:r>
      <w:r w:rsidR="00EB6E00">
        <w:rPr>
          <w:rFonts w:cs="Calibri"/>
          <w:color w:val="000000" w:themeColor="text1"/>
          <w:sz w:val="22"/>
          <w:szCs w:val="22"/>
          <w:shd w:val="clear" w:color="auto" w:fill="FFFFFF"/>
        </w:rPr>
        <w:t>y</w:t>
      </w:r>
      <w:r w:rsidR="00EB6E00" w:rsidRPr="000F52A2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CZ GL</w:t>
      </w:r>
      <w:r w:rsidR="00EB6E00">
        <w:rPr>
          <w:rFonts w:cs="Calibri"/>
          <w:color w:val="000000" w:themeColor="text1"/>
          <w:sz w:val="22"/>
          <w:szCs w:val="22"/>
          <w:shd w:val="clear" w:color="auto" w:fill="FFFFFF"/>
        </w:rPr>
        <w:t>)</w:t>
      </w:r>
      <w:r w:rsidR="000F52A2" w:rsidRPr="000F52A2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a příslušenství v maximální hodnotě 4,26 miliardy korun bez DPH.</w:t>
      </w:r>
      <w:r w:rsidR="000F52A2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0F52A2" w:rsidRPr="000F52A2">
        <w:rPr>
          <w:rFonts w:cs="Calibri"/>
          <w:color w:val="000000" w:themeColor="text1"/>
          <w:sz w:val="22"/>
          <w:szCs w:val="22"/>
          <w:shd w:val="clear" w:color="auto" w:fill="FFFFFF"/>
        </w:rPr>
        <w:t>Rámcová dohoda pokrývá období let 2025–2031 a navazuje na úspěšnou spolupráci zahájenou v roce 2011. V jejím rámci resort obrany v minulosti realizoval několik kontraktů, díky nimž došlo k úplnému přechodu na výzbroj jednotlivce v ráži NATO.</w:t>
      </w:r>
    </w:p>
    <w:p w14:paraId="7CF8CB93" w14:textId="4F55DBAC" w:rsidR="29C2ECB7" w:rsidRDefault="3EBF5D95" w:rsidP="29C2ECB7">
      <w:pPr>
        <w:keepNext/>
        <w:spacing w:before="240"/>
        <w:rPr>
          <w:rFonts w:cs="Calibri"/>
          <w:color w:val="000000" w:themeColor="text1"/>
          <w:sz w:val="22"/>
          <w:szCs w:val="22"/>
        </w:rPr>
      </w:pPr>
      <w:r w:rsidRPr="1F7E4C7B">
        <w:rPr>
          <w:rFonts w:cs="Calibri"/>
          <w:b/>
          <w:bCs/>
          <w:color w:val="000000" w:themeColor="text1"/>
          <w:sz w:val="22"/>
          <w:szCs w:val="22"/>
        </w:rPr>
        <w:t>Výhled na druhou polovinu roku 2025</w:t>
      </w:r>
    </w:p>
    <w:p w14:paraId="09DB6325" w14:textId="3BB76A23" w:rsidR="7BA79BC8" w:rsidRDefault="472FA8DF" w:rsidP="74537EFA">
      <w:pPr>
        <w:keepNext/>
        <w:spacing w:before="240"/>
        <w:rPr>
          <w:rFonts w:eastAsia="Atyp Colt CZ"/>
        </w:rPr>
      </w:pPr>
      <w:r w:rsidRPr="74537EFA">
        <w:rPr>
          <w:rFonts w:eastAsia="Atyp Colt CZ" w:cs="Atyp Colt CZ"/>
          <w:sz w:val="22"/>
          <w:szCs w:val="22"/>
        </w:rPr>
        <w:t>V souladu s předchozí komunikací Colt CZ i nadále vidí významné globální obchodní příležitosti v segmentu ozbrojených složek. Spolupráce s členskými zeměmi NATO, EU a s Agenturou NATO pro podporu a pořizování (NSPA) zůstává hlavní prioritou, přestože Skupina vnímá zvyšující se příležitosti na dalších trzích, především v Asii. Úspěchy v tendrech a realizace získaných zakázek bez zdržení jsou dalšími předpoklady pro naplnění výhledu. Udržení ziskovosti a marží v segmentu palných zbraní, zejména na americkém trhu, nadále představuje jeden z cílů Společnosti pro zbývající část roku 2025.</w:t>
      </w:r>
    </w:p>
    <w:p w14:paraId="1DD8382A" w14:textId="32EDECEA" w:rsidR="3161B6E7" w:rsidRDefault="4491021A" w:rsidP="3161B6E7">
      <w:pPr>
        <w:keepNext/>
        <w:spacing w:before="240"/>
        <w:rPr>
          <w:rFonts w:eastAsia="Atyp Colt CZ"/>
        </w:rPr>
      </w:pPr>
      <w:r w:rsidRPr="4C2A0FAC">
        <w:rPr>
          <w:rFonts w:eastAsia="Atyp Colt CZ" w:cs="Atyp Colt CZ"/>
          <w:sz w:val="22"/>
          <w:szCs w:val="22"/>
        </w:rPr>
        <w:t xml:space="preserve">V průběhu první poloviny roku 2025 společnost Colt CZ pečlivě sledovala diskuse o zavedení amerických cel na evropské zboží a proaktivně přijala opatření zaměřená na ochranu své ziskovosti, zejména na úrovni ukazatele EBITDA. Skupina dokázala včas upravit ceny dotčeného exportu, což vedlo k tomu, že cla </w:t>
      </w:r>
      <w:r w:rsidR="00F84C00">
        <w:rPr>
          <w:rFonts w:eastAsia="Atyp Colt CZ" w:cs="Atyp Colt CZ"/>
          <w:sz w:val="22"/>
          <w:szCs w:val="22"/>
        </w:rPr>
        <w:t>zatím ne</w:t>
      </w:r>
      <w:r w:rsidRPr="4C2A0FAC">
        <w:rPr>
          <w:rFonts w:eastAsia="Atyp Colt CZ" w:cs="Atyp Colt CZ"/>
          <w:sz w:val="22"/>
          <w:szCs w:val="22"/>
        </w:rPr>
        <w:t>měla</w:t>
      </w:r>
      <w:r w:rsidR="008377C4">
        <w:rPr>
          <w:rFonts w:eastAsia="Atyp Colt CZ" w:cs="Atyp Colt CZ"/>
          <w:sz w:val="22"/>
          <w:szCs w:val="22"/>
        </w:rPr>
        <w:t xml:space="preserve"> </w:t>
      </w:r>
      <w:r w:rsidR="005A656B">
        <w:rPr>
          <w:rFonts w:eastAsia="Atyp Colt CZ" w:cs="Atyp Colt CZ"/>
          <w:sz w:val="22"/>
          <w:szCs w:val="22"/>
        </w:rPr>
        <w:t>významný</w:t>
      </w:r>
      <w:r w:rsidRPr="4C2A0FAC">
        <w:rPr>
          <w:rFonts w:eastAsia="Atyp Colt CZ" w:cs="Atyp Colt CZ"/>
          <w:sz w:val="22"/>
          <w:szCs w:val="22"/>
        </w:rPr>
        <w:t xml:space="preserve"> dopad na finanční výsledky za první polovinu roku 2025.</w:t>
      </w:r>
      <w:r w:rsidRPr="3A2E952C">
        <w:rPr>
          <w:rFonts w:eastAsia="Atyp Colt CZ" w:cs="Atyp Colt CZ"/>
          <w:sz w:val="22"/>
          <w:szCs w:val="22"/>
        </w:rPr>
        <w:t xml:space="preserve"> </w:t>
      </w:r>
      <w:r w:rsidRPr="4522035B">
        <w:rPr>
          <w:rFonts w:eastAsia="Atyp Colt CZ" w:cs="Atyp Colt CZ"/>
          <w:sz w:val="22"/>
          <w:szCs w:val="22"/>
        </w:rPr>
        <w:t xml:space="preserve">Colt CZ odhaduje, že zavedená 15% cla dopadnou na zhruba 10 % jejich prodejů realizovaných na americkém trhu. Skupina proto </w:t>
      </w:r>
      <w:r w:rsidR="007D70B3">
        <w:rPr>
          <w:rFonts w:eastAsia="Atyp Colt CZ" w:cs="Atyp Colt CZ"/>
          <w:sz w:val="22"/>
          <w:szCs w:val="22"/>
        </w:rPr>
        <w:t xml:space="preserve">v současnosti </w:t>
      </w:r>
      <w:r w:rsidRPr="4522035B">
        <w:rPr>
          <w:rFonts w:eastAsia="Atyp Colt CZ" w:cs="Atyp Colt CZ"/>
          <w:sz w:val="22"/>
          <w:szCs w:val="22"/>
        </w:rPr>
        <w:t xml:space="preserve">neočekává materiální dopad do svých </w:t>
      </w:r>
      <w:r w:rsidRPr="4522035B">
        <w:rPr>
          <w:rFonts w:eastAsia="Atyp Colt CZ" w:cs="Atyp Colt CZ"/>
          <w:sz w:val="22"/>
          <w:szCs w:val="22"/>
        </w:rPr>
        <w:lastRenderedPageBreak/>
        <w:t>očekávaných celkových konsolidovaných výnosů. Nicméně nevylučuje možný negativní dopad na provozní ziskovost, zejména na úrovni EBITDA, a to v řádu nižších jednotek procent.</w:t>
      </w:r>
    </w:p>
    <w:p w14:paraId="08EB8F41" w14:textId="675F8399" w:rsidR="43CFB001" w:rsidRPr="00432027" w:rsidRDefault="73699C0F" w:rsidP="3B63F41B">
      <w:pPr>
        <w:keepNext/>
        <w:spacing w:before="240"/>
        <w:rPr>
          <w:rFonts w:eastAsia="Atyp Colt CZ" w:cs="Atyp Colt CZ"/>
          <w:sz w:val="22"/>
          <w:szCs w:val="22"/>
        </w:rPr>
      </w:pPr>
      <w:r w:rsidRPr="46A6A270">
        <w:rPr>
          <w:rFonts w:eastAsia="Atyp Colt CZ" w:cs="Atyp Colt CZ"/>
          <w:sz w:val="22"/>
          <w:szCs w:val="22"/>
        </w:rPr>
        <w:t>S ohledem na výše uvedené skutečnosti Skupina potvrzuje svůj výhled na rok 2025</w:t>
      </w:r>
      <w:r w:rsidR="00ED0E78">
        <w:rPr>
          <w:rFonts w:eastAsia="Atyp Colt CZ" w:cs="Atyp Colt CZ"/>
          <w:sz w:val="22"/>
          <w:szCs w:val="22"/>
        </w:rPr>
        <w:t xml:space="preserve">, tzn. </w:t>
      </w:r>
      <w:r w:rsidR="43CFB001" w:rsidRPr="3B63F41B">
        <w:rPr>
          <w:rFonts w:eastAsia="Atyp Colt CZ" w:cs="Atyp Colt CZ"/>
          <w:sz w:val="22"/>
          <w:szCs w:val="22"/>
        </w:rPr>
        <w:t>výnosy ve výši 25 miliard Kč a upravená EBITDA na úrovni 5,5 miliardy Kč (+/- 10 %). Tento výhled nezahrnuje případný dopad akvizice SNC. Soustředíme se na realizaci zakázek, vývoj nových produktů a pečlivě sledujeme klíčové trhy.</w:t>
      </w:r>
    </w:p>
    <w:p w14:paraId="74999CAA" w14:textId="77777777" w:rsidR="007577CE" w:rsidRDefault="007577CE" w:rsidP="002172AB">
      <w:pPr>
        <w:keepNext/>
        <w:spacing w:before="240"/>
        <w:rPr>
          <w:rFonts w:cs="Calibri"/>
          <w:color w:val="000000" w:themeColor="text1"/>
          <w:sz w:val="22"/>
          <w:szCs w:val="22"/>
          <w:shd w:val="clear" w:color="auto" w:fill="FFFFFF"/>
        </w:rPr>
      </w:pPr>
    </w:p>
    <w:p w14:paraId="18F74671" w14:textId="00AFD561" w:rsidR="004813A9" w:rsidRPr="00D469AD" w:rsidRDefault="004813A9" w:rsidP="002172AB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O společnosti </w:t>
      </w:r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Colt CZ</w:t>
      </w: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Group SE</w:t>
      </w:r>
    </w:p>
    <w:p w14:paraId="65C2DC58" w14:textId="77777777" w:rsidR="000F67A7" w:rsidRPr="000F67A7" w:rsidRDefault="000F67A7" w:rsidP="000F67A7">
      <w:pPr>
        <w:rPr>
          <w:sz w:val="22"/>
          <w:szCs w:val="22"/>
        </w:rPr>
      </w:pPr>
      <w:r w:rsidRPr="000F67A7">
        <w:rPr>
          <w:sz w:val="22"/>
          <w:szCs w:val="22"/>
        </w:rPr>
        <w:t>Skupina Colt CZ je jedním z předních světových výrobců ručních palných zbraní a munice pro ozbrojené složky, osobní obranu, lov, sportovní střelbu a další komerční využití. Své produkty prodává především pod značkami Colt, CZ (Česká zbrojovka), Colt Canada, Dan Wesson, Sellier &amp; Bellot, swissAA, Spuhr a 4M Tactical.</w:t>
      </w:r>
    </w:p>
    <w:p w14:paraId="7F8BFC66" w14:textId="77777777" w:rsidR="000F67A7" w:rsidRPr="000F67A7" w:rsidRDefault="000F67A7" w:rsidP="000F67A7">
      <w:pPr>
        <w:rPr>
          <w:sz w:val="22"/>
          <w:szCs w:val="22"/>
        </w:rPr>
      </w:pPr>
      <w:r w:rsidRPr="000F67A7">
        <w:rPr>
          <w:sz w:val="22"/>
          <w:szCs w:val="22"/>
        </w:rPr>
        <w:t>Skupina Colt CZ sídlí v České republice a zaměstnává přibližně 4 000 lidí ve svých výrobních závodech v České republice, Spojených státech, Kanadě, Švédsku, Švýcarsku a Maďarsku. Skupina je od roku 2020 kotovaná na Burze cenných papírů Praha a majoritním akcionářem je holding Česká zbrojovka Partners SE.</w:t>
      </w:r>
    </w:p>
    <w:p w14:paraId="093F7879" w14:textId="77777777" w:rsidR="00CC35AB" w:rsidRPr="006663EA" w:rsidRDefault="00CC35AB" w:rsidP="0AD3141C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4F12B95E" w14:textId="77777777" w:rsidR="0050664E" w:rsidRPr="003E19CA" w:rsidRDefault="0050664E" w:rsidP="0AD3141C">
      <w:pPr>
        <w:spacing w:before="0" w:after="0"/>
        <w:rPr>
          <w:rFonts w:cs="Calibri"/>
          <w:b/>
          <w:bCs/>
          <w:color w:val="000000" w:themeColor="text1"/>
        </w:rPr>
      </w:pPr>
      <w:r w:rsidRPr="0AD3141C">
        <w:rPr>
          <w:rFonts w:cs="Calibri"/>
          <w:b/>
          <w:bCs/>
          <w:color w:val="000000" w:themeColor="text1"/>
        </w:rPr>
        <w:t>Kontakt pro média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b/>
          <w:bCs/>
          <w:color w:val="000000" w:themeColor="text1"/>
        </w:rPr>
        <w:t>Kontakt pro investory</w:t>
      </w:r>
    </w:p>
    <w:p w14:paraId="1C5E3626" w14:textId="77777777" w:rsidR="0050664E" w:rsidRDefault="0050664E" w:rsidP="0AD3141C">
      <w:pPr>
        <w:spacing w:before="0" w:after="0"/>
        <w:rPr>
          <w:rFonts w:cs="Calibri"/>
          <w:color w:val="000000" w:themeColor="text1"/>
        </w:rPr>
      </w:pPr>
    </w:p>
    <w:p w14:paraId="655011F7" w14:textId="2A6BC2D5" w:rsidR="0050664E" w:rsidRPr="003E19CA" w:rsidRDefault="69BEF8A7" w:rsidP="0AD3141C">
      <w:pPr>
        <w:spacing w:before="0" w:after="0"/>
        <w:rPr>
          <w:rFonts w:cs="Calibri"/>
          <w:b/>
          <w:bCs/>
          <w:color w:val="000000" w:themeColor="text1"/>
        </w:rPr>
      </w:pPr>
      <w:r w:rsidRPr="6AD116CD">
        <w:rPr>
          <w:rFonts w:cs="Calibri"/>
          <w:color w:val="000000" w:themeColor="text1"/>
        </w:rPr>
        <w:t>Eva Svobodová</w:t>
      </w:r>
      <w:r w:rsidR="0050664E">
        <w:tab/>
      </w:r>
      <w:r w:rsidR="0050664E">
        <w:tab/>
      </w:r>
      <w:r w:rsidR="0050664E">
        <w:tab/>
      </w:r>
      <w:r w:rsidR="0050664E">
        <w:tab/>
      </w:r>
      <w:r w:rsidR="0050664E">
        <w:tab/>
      </w:r>
      <w:r w:rsidR="0050664E">
        <w:tab/>
      </w:r>
      <w:r w:rsidRPr="6AD116CD">
        <w:rPr>
          <w:rFonts w:cs="Calibri"/>
          <w:color w:val="000000" w:themeColor="text1"/>
        </w:rPr>
        <w:t>Klára Šípová</w:t>
      </w:r>
    </w:p>
    <w:p w14:paraId="4BCE197B" w14:textId="77777777" w:rsidR="0050664E" w:rsidRPr="003E19CA" w:rsidRDefault="0050664E" w:rsidP="0AD3141C">
      <w:pPr>
        <w:spacing w:before="0" w:after="0"/>
        <w:rPr>
          <w:rFonts w:cs="Calibri"/>
          <w:color w:val="000000" w:themeColor="text1"/>
        </w:rPr>
      </w:pPr>
      <w:r w:rsidRPr="0AD3141C">
        <w:rPr>
          <w:rFonts w:cs="Calibri"/>
          <w:color w:val="000000" w:themeColor="text1"/>
        </w:rPr>
        <w:t>ředitelka pro vnější vztahy</w:t>
      </w:r>
      <w:r>
        <w:tab/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color w:val="000000" w:themeColor="text1"/>
        </w:rPr>
        <w:t>Investor Relations</w:t>
      </w:r>
    </w:p>
    <w:p w14:paraId="3CB45AFA" w14:textId="77777777" w:rsidR="0050664E" w:rsidRPr="003E19CA" w:rsidRDefault="0050664E" w:rsidP="0AD3141C">
      <w:pPr>
        <w:spacing w:before="0" w:after="0"/>
        <w:rPr>
          <w:rFonts w:cs="Calibri"/>
          <w:b/>
          <w:bCs/>
          <w:color w:val="000000" w:themeColor="text1"/>
        </w:rPr>
      </w:pPr>
      <w:r w:rsidRPr="0AD3141C">
        <w:rPr>
          <w:rFonts w:cs="Calibri"/>
          <w:color w:val="000000" w:themeColor="text1"/>
        </w:rPr>
        <w:t>Colt CZ Group 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color w:val="000000" w:themeColor="text1"/>
        </w:rPr>
        <w:t>Colt CZ Group SE</w:t>
      </w:r>
    </w:p>
    <w:p w14:paraId="6E12F3BF" w14:textId="77777777" w:rsidR="0050664E" w:rsidRDefault="0050664E" w:rsidP="0AD3141C">
      <w:pPr>
        <w:spacing w:before="0" w:after="0"/>
        <w:rPr>
          <w:rFonts w:cs="Calibri"/>
          <w:color w:val="000000" w:themeColor="text1"/>
        </w:rPr>
      </w:pPr>
      <w:r w:rsidRPr="0AD3141C">
        <w:rPr>
          <w:rFonts w:cs="Calibri"/>
          <w:color w:val="000000" w:themeColor="text1"/>
        </w:rPr>
        <w:t>Tel.: +420 735 793 656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color w:val="000000" w:themeColor="text1"/>
        </w:rPr>
        <w:t>Tel.: +420 724 255 715</w:t>
      </w:r>
    </w:p>
    <w:p w14:paraId="681DD8CD" w14:textId="77777777" w:rsidR="0050664E" w:rsidRPr="006D6018" w:rsidRDefault="0050664E" w:rsidP="0AD3141C">
      <w:pPr>
        <w:spacing w:before="0" w:after="0"/>
        <w:rPr>
          <w:rFonts w:cs="Calibri"/>
          <w:color w:val="000000" w:themeColor="text1"/>
        </w:rPr>
      </w:pPr>
      <w:r w:rsidRPr="0AD3141C">
        <w:rPr>
          <w:rFonts w:cs="Calibri"/>
          <w:color w:val="000000" w:themeColor="text1"/>
        </w:rPr>
        <w:t xml:space="preserve">email: </w:t>
      </w:r>
      <w:r>
        <w:t>media@coltczgroup.com</w:t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color w:val="000000" w:themeColor="text1"/>
        </w:rPr>
        <w:t xml:space="preserve">email: </w:t>
      </w:r>
      <w:r>
        <w:t>sipova@coltczgroup.com</w:t>
      </w:r>
    </w:p>
    <w:p w14:paraId="5C131866" w14:textId="77777777" w:rsidR="0050664E" w:rsidRPr="00FD2816" w:rsidRDefault="0050664E" w:rsidP="0AD3141C">
      <w:pPr>
        <w:spacing w:before="0" w:after="0" w:line="276" w:lineRule="auto"/>
        <w:jc w:val="left"/>
        <w:rPr>
          <w:rFonts w:cs="Calibri"/>
          <w:color w:val="000000" w:themeColor="text1"/>
        </w:rPr>
      </w:pPr>
      <w:r w:rsidRPr="00FD2816"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</w:p>
    <w:p w14:paraId="6E8C2241" w14:textId="039D92BB" w:rsidR="006547EF" w:rsidRPr="00D469AD" w:rsidRDefault="004813A9" w:rsidP="0AD3141C">
      <w:pPr>
        <w:spacing w:before="0" w:after="0" w:line="276" w:lineRule="auto"/>
        <w:jc w:val="left"/>
        <w:rPr>
          <w:rFonts w:cs="Arial"/>
        </w:rPr>
      </w:pPr>
      <w:r w:rsidRPr="00D469AD">
        <w:rPr>
          <w:rFonts w:cs="Calibri"/>
          <w:color w:val="000000" w:themeColor="text1"/>
          <w:szCs w:val="20"/>
        </w:rPr>
        <w:tab/>
      </w:r>
    </w:p>
    <w:sectPr w:rsidR="006547EF" w:rsidRPr="00D469AD" w:rsidSect="003A0D2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249C3" w14:textId="77777777" w:rsidR="00B852AC" w:rsidRDefault="00B852AC" w:rsidP="006547EF">
      <w:pPr>
        <w:spacing w:before="0" w:after="0"/>
      </w:pPr>
      <w:r>
        <w:separator/>
      </w:r>
    </w:p>
  </w:endnote>
  <w:endnote w:type="continuationSeparator" w:id="0">
    <w:p w14:paraId="46D5648E" w14:textId="77777777" w:rsidR="00B852AC" w:rsidRDefault="00B852AC" w:rsidP="006547EF">
      <w:pPr>
        <w:spacing w:before="0" w:after="0"/>
      </w:pPr>
      <w:r>
        <w:continuationSeparator/>
      </w:r>
    </w:p>
  </w:endnote>
  <w:endnote w:type="continuationNotice" w:id="1">
    <w:p w14:paraId="4BF3C654" w14:textId="77777777" w:rsidR="00B852AC" w:rsidRDefault="00B852A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yp Colt CZ">
    <w:panose1 w:val="00000000000000000000"/>
    <w:charset w:val="EE"/>
    <w:family w:val="auto"/>
    <w:pitch w:val="variable"/>
    <w:sig w:usb0="A00002FF" w:usb1="0200E07A" w:usb2="00000000" w:usb3="00000000" w:csb0="0000019F" w:csb1="00000000"/>
    <w:embedRegular r:id="rId1" w:fontKey="{64016016-D2EC-452F-9987-CB9988CDCC15}"/>
    <w:embedBold r:id="rId2" w:fontKey="{919ED2CC-0EE0-42A2-9624-5A87D773CDA7}"/>
    <w:embedItalic r:id="rId3" w:fontKey="{A07CC5E2-5C82-44FF-8E59-821D11AF0E34}"/>
    <w:embedBoldItalic r:id="rId4" w:fontKey="{CF805960-2642-4FC0-8039-0E5B5C7AA7E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43ACC53-B2EA-49A5-BF0D-AB5CB21BFD22}"/>
    <w:embedBold r:id="rId6" w:fontKey="{0E57562F-C6CB-44A5-A49C-E5C6D88ACD3B}"/>
    <w:embedItalic r:id="rId7" w:fontKey="{32911F7C-0E85-4B30-B406-71111436A4DE}"/>
    <w:embedBoldItalic r:id="rId8" w:fontKey="{BD004156-54CA-4E81-A986-9A97708B1C01}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59AEE42-1A8B-43CD-A499-49C035022191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7232277F" w14:textId="77777777" w:rsidR="00C07127" w:rsidRDefault="00C07127">
        <w:pPr>
          <w:pStyle w:val="Zpat"/>
          <w:jc w:val="right"/>
        </w:pPr>
      </w:p>
      <w:p w14:paraId="0922375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4DBC8" w14:textId="7B197D8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bookmarkStart w:id="1" w:name="_Hlk167285063"/>
    <w:r w:rsidR="003461FE" w:rsidRPr="003461FE">
      <w:rPr>
        <w:rFonts w:eastAsiaTheme="minorHAnsi" w:cstheme="minorBidi"/>
        <w:sz w:val="14"/>
        <w:szCs w:val="14"/>
      </w:rPr>
      <w:t>náměstí Republiky 2090/3a</w:t>
    </w:r>
    <w:bookmarkEnd w:id="1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AC076B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012CA" w14:textId="77777777" w:rsidR="00B852AC" w:rsidRDefault="00B852AC" w:rsidP="006547EF">
      <w:pPr>
        <w:spacing w:before="0" w:after="0"/>
      </w:pPr>
      <w:r>
        <w:separator/>
      </w:r>
    </w:p>
  </w:footnote>
  <w:footnote w:type="continuationSeparator" w:id="0">
    <w:p w14:paraId="064FBF50" w14:textId="77777777" w:rsidR="00B852AC" w:rsidRDefault="00B852AC" w:rsidP="006547EF">
      <w:pPr>
        <w:spacing w:before="0" w:after="0"/>
      </w:pPr>
      <w:r>
        <w:continuationSeparator/>
      </w:r>
    </w:p>
  </w:footnote>
  <w:footnote w:type="continuationNotice" w:id="1">
    <w:p w14:paraId="746BD4B2" w14:textId="77777777" w:rsidR="00B852AC" w:rsidRDefault="00B852AC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294C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3036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3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5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0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30569313">
    <w:abstractNumId w:val="0"/>
  </w:num>
  <w:num w:numId="2" w16cid:durableId="1984000081">
    <w:abstractNumId w:val="6"/>
  </w:num>
  <w:num w:numId="3" w16cid:durableId="1972323979">
    <w:abstractNumId w:val="3"/>
  </w:num>
  <w:num w:numId="4" w16cid:durableId="1764062571">
    <w:abstractNumId w:val="8"/>
  </w:num>
  <w:num w:numId="5" w16cid:durableId="1167020940">
    <w:abstractNumId w:val="7"/>
  </w:num>
  <w:num w:numId="6" w16cid:durableId="961301997">
    <w:abstractNumId w:val="2"/>
  </w:num>
  <w:num w:numId="7" w16cid:durableId="1720130735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1448625609">
    <w:abstractNumId w:val="1"/>
  </w:num>
  <w:num w:numId="9" w16cid:durableId="1827696952">
    <w:abstractNumId w:val="10"/>
  </w:num>
  <w:num w:numId="10" w16cid:durableId="1986154460">
    <w:abstractNumId w:val="9"/>
  </w:num>
  <w:num w:numId="11" w16cid:durableId="773089837">
    <w:abstractNumId w:val="5"/>
  </w:num>
  <w:num w:numId="12" w16cid:durableId="316543268">
    <w:abstractNumId w:val="4"/>
  </w:num>
  <w:num w:numId="13" w16cid:durableId="570392137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/>
  <w:attachedTemplate r:id="rId1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0263D"/>
    <w:rsid w:val="00004C1D"/>
    <w:rsid w:val="00007840"/>
    <w:rsid w:val="00010C65"/>
    <w:rsid w:val="00011E7B"/>
    <w:rsid w:val="0001238C"/>
    <w:rsid w:val="00012BE0"/>
    <w:rsid w:val="00012E35"/>
    <w:rsid w:val="000153E5"/>
    <w:rsid w:val="00016A4A"/>
    <w:rsid w:val="00017690"/>
    <w:rsid w:val="0001791C"/>
    <w:rsid w:val="0002143B"/>
    <w:rsid w:val="00024A94"/>
    <w:rsid w:val="00037830"/>
    <w:rsid w:val="00040F8D"/>
    <w:rsid w:val="00041A64"/>
    <w:rsid w:val="0004368C"/>
    <w:rsid w:val="00043937"/>
    <w:rsid w:val="00044A33"/>
    <w:rsid w:val="00045B0B"/>
    <w:rsid w:val="00046834"/>
    <w:rsid w:val="00046F5A"/>
    <w:rsid w:val="000502F0"/>
    <w:rsid w:val="00050408"/>
    <w:rsid w:val="00052313"/>
    <w:rsid w:val="00054712"/>
    <w:rsid w:val="00054E08"/>
    <w:rsid w:val="00055A34"/>
    <w:rsid w:val="000605C0"/>
    <w:rsid w:val="00063FCF"/>
    <w:rsid w:val="00064D2F"/>
    <w:rsid w:val="00066088"/>
    <w:rsid w:val="00067C03"/>
    <w:rsid w:val="000702EA"/>
    <w:rsid w:val="00071730"/>
    <w:rsid w:val="00071F6A"/>
    <w:rsid w:val="00074049"/>
    <w:rsid w:val="00074B08"/>
    <w:rsid w:val="00075786"/>
    <w:rsid w:val="00075F56"/>
    <w:rsid w:val="00076294"/>
    <w:rsid w:val="00076BAC"/>
    <w:rsid w:val="000811AA"/>
    <w:rsid w:val="0008128D"/>
    <w:rsid w:val="00087633"/>
    <w:rsid w:val="000908B0"/>
    <w:rsid w:val="0009564F"/>
    <w:rsid w:val="00095F9D"/>
    <w:rsid w:val="000A25A4"/>
    <w:rsid w:val="000A411A"/>
    <w:rsid w:val="000A4AD9"/>
    <w:rsid w:val="000B0726"/>
    <w:rsid w:val="000B46EE"/>
    <w:rsid w:val="000B4D88"/>
    <w:rsid w:val="000B5323"/>
    <w:rsid w:val="000B5634"/>
    <w:rsid w:val="000B6BE4"/>
    <w:rsid w:val="000D11C0"/>
    <w:rsid w:val="000D11F6"/>
    <w:rsid w:val="000D128C"/>
    <w:rsid w:val="000D2931"/>
    <w:rsid w:val="000D40DE"/>
    <w:rsid w:val="000D4999"/>
    <w:rsid w:val="000D709E"/>
    <w:rsid w:val="000E10B9"/>
    <w:rsid w:val="000E144E"/>
    <w:rsid w:val="000E20C7"/>
    <w:rsid w:val="000E347B"/>
    <w:rsid w:val="000E72FD"/>
    <w:rsid w:val="000F12DC"/>
    <w:rsid w:val="000F52A2"/>
    <w:rsid w:val="000F67A7"/>
    <w:rsid w:val="000F6DC4"/>
    <w:rsid w:val="000F7895"/>
    <w:rsid w:val="000F7FC8"/>
    <w:rsid w:val="00100AD7"/>
    <w:rsid w:val="0010170C"/>
    <w:rsid w:val="00102D2D"/>
    <w:rsid w:val="001053F0"/>
    <w:rsid w:val="0010674D"/>
    <w:rsid w:val="00106FA4"/>
    <w:rsid w:val="0011114F"/>
    <w:rsid w:val="00115478"/>
    <w:rsid w:val="0011598F"/>
    <w:rsid w:val="001170B3"/>
    <w:rsid w:val="001172FD"/>
    <w:rsid w:val="00117CD9"/>
    <w:rsid w:val="001223D1"/>
    <w:rsid w:val="00127B2D"/>
    <w:rsid w:val="00133AE6"/>
    <w:rsid w:val="00134E44"/>
    <w:rsid w:val="001375C2"/>
    <w:rsid w:val="001412A2"/>
    <w:rsid w:val="00141ED8"/>
    <w:rsid w:val="00141EFD"/>
    <w:rsid w:val="001439B2"/>
    <w:rsid w:val="00144E31"/>
    <w:rsid w:val="00151922"/>
    <w:rsid w:val="00154F03"/>
    <w:rsid w:val="00155D63"/>
    <w:rsid w:val="0016430D"/>
    <w:rsid w:val="00172818"/>
    <w:rsid w:val="00177FA2"/>
    <w:rsid w:val="0018182D"/>
    <w:rsid w:val="00181A0B"/>
    <w:rsid w:val="0018270D"/>
    <w:rsid w:val="00184540"/>
    <w:rsid w:val="001875B4"/>
    <w:rsid w:val="001921A9"/>
    <w:rsid w:val="00192494"/>
    <w:rsid w:val="0019589A"/>
    <w:rsid w:val="00196968"/>
    <w:rsid w:val="00197014"/>
    <w:rsid w:val="001A0BFA"/>
    <w:rsid w:val="001A0CFE"/>
    <w:rsid w:val="001A2726"/>
    <w:rsid w:val="001A412A"/>
    <w:rsid w:val="001B0145"/>
    <w:rsid w:val="001B088C"/>
    <w:rsid w:val="001B0EEB"/>
    <w:rsid w:val="001B5FE6"/>
    <w:rsid w:val="001C117E"/>
    <w:rsid w:val="001C4B0B"/>
    <w:rsid w:val="001C5673"/>
    <w:rsid w:val="001C58FF"/>
    <w:rsid w:val="001C60E2"/>
    <w:rsid w:val="001C6C67"/>
    <w:rsid w:val="001D01A5"/>
    <w:rsid w:val="001D184F"/>
    <w:rsid w:val="001D406C"/>
    <w:rsid w:val="001D6181"/>
    <w:rsid w:val="001E0798"/>
    <w:rsid w:val="001E4770"/>
    <w:rsid w:val="001E6BAC"/>
    <w:rsid w:val="001E7CC4"/>
    <w:rsid w:val="001F3A1D"/>
    <w:rsid w:val="00200E91"/>
    <w:rsid w:val="0020291C"/>
    <w:rsid w:val="002034C5"/>
    <w:rsid w:val="002064E1"/>
    <w:rsid w:val="0020700D"/>
    <w:rsid w:val="00207778"/>
    <w:rsid w:val="00207ACB"/>
    <w:rsid w:val="0020BC3C"/>
    <w:rsid w:val="00210B2C"/>
    <w:rsid w:val="002172AB"/>
    <w:rsid w:val="00220526"/>
    <w:rsid w:val="002235AD"/>
    <w:rsid w:val="0022521E"/>
    <w:rsid w:val="00232CFC"/>
    <w:rsid w:val="002365FE"/>
    <w:rsid w:val="00236C0E"/>
    <w:rsid w:val="00242F2D"/>
    <w:rsid w:val="0024401C"/>
    <w:rsid w:val="00246261"/>
    <w:rsid w:val="002463EA"/>
    <w:rsid w:val="002473CB"/>
    <w:rsid w:val="00253DC5"/>
    <w:rsid w:val="0025696C"/>
    <w:rsid w:val="002608BE"/>
    <w:rsid w:val="002609D1"/>
    <w:rsid w:val="00261491"/>
    <w:rsid w:val="0026338E"/>
    <w:rsid w:val="00263850"/>
    <w:rsid w:val="002701C7"/>
    <w:rsid w:val="00271D46"/>
    <w:rsid w:val="00272CC1"/>
    <w:rsid w:val="00273164"/>
    <w:rsid w:val="00276900"/>
    <w:rsid w:val="0028178A"/>
    <w:rsid w:val="00282DC9"/>
    <w:rsid w:val="002878C9"/>
    <w:rsid w:val="00290951"/>
    <w:rsid w:val="00292294"/>
    <w:rsid w:val="00292E0D"/>
    <w:rsid w:val="0029531F"/>
    <w:rsid w:val="002A4F72"/>
    <w:rsid w:val="002A7C01"/>
    <w:rsid w:val="002B4E39"/>
    <w:rsid w:val="002B4FA7"/>
    <w:rsid w:val="002B6955"/>
    <w:rsid w:val="002C0481"/>
    <w:rsid w:val="002C3228"/>
    <w:rsid w:val="002D01FD"/>
    <w:rsid w:val="002D1D6E"/>
    <w:rsid w:val="002E05D1"/>
    <w:rsid w:val="002E4E1B"/>
    <w:rsid w:val="002E7BBB"/>
    <w:rsid w:val="002F0F6D"/>
    <w:rsid w:val="002F14C3"/>
    <w:rsid w:val="002F1981"/>
    <w:rsid w:val="002F4B16"/>
    <w:rsid w:val="003015D2"/>
    <w:rsid w:val="003030D9"/>
    <w:rsid w:val="0030521E"/>
    <w:rsid w:val="0030793C"/>
    <w:rsid w:val="0031016E"/>
    <w:rsid w:val="00311172"/>
    <w:rsid w:val="00311276"/>
    <w:rsid w:val="00311FF1"/>
    <w:rsid w:val="00316E9D"/>
    <w:rsid w:val="00321C5B"/>
    <w:rsid w:val="00323458"/>
    <w:rsid w:val="00323BFA"/>
    <w:rsid w:val="003245F6"/>
    <w:rsid w:val="00324729"/>
    <w:rsid w:val="00325975"/>
    <w:rsid w:val="003308B4"/>
    <w:rsid w:val="00332124"/>
    <w:rsid w:val="00332D1F"/>
    <w:rsid w:val="00341C4A"/>
    <w:rsid w:val="0034239F"/>
    <w:rsid w:val="003461FE"/>
    <w:rsid w:val="003467EC"/>
    <w:rsid w:val="00346A3E"/>
    <w:rsid w:val="00350C15"/>
    <w:rsid w:val="00352087"/>
    <w:rsid w:val="00361926"/>
    <w:rsid w:val="00363EE6"/>
    <w:rsid w:val="00364F2B"/>
    <w:rsid w:val="00365414"/>
    <w:rsid w:val="00370935"/>
    <w:rsid w:val="00373013"/>
    <w:rsid w:val="00373192"/>
    <w:rsid w:val="00374794"/>
    <w:rsid w:val="00375B6D"/>
    <w:rsid w:val="00381104"/>
    <w:rsid w:val="003826D0"/>
    <w:rsid w:val="00385E36"/>
    <w:rsid w:val="00386422"/>
    <w:rsid w:val="00386C90"/>
    <w:rsid w:val="00390F96"/>
    <w:rsid w:val="00391522"/>
    <w:rsid w:val="00394C08"/>
    <w:rsid w:val="00394F15"/>
    <w:rsid w:val="003960F6"/>
    <w:rsid w:val="00396434"/>
    <w:rsid w:val="00396EBA"/>
    <w:rsid w:val="003A0D2D"/>
    <w:rsid w:val="003A31FC"/>
    <w:rsid w:val="003A6C08"/>
    <w:rsid w:val="003B3BF1"/>
    <w:rsid w:val="003B47C3"/>
    <w:rsid w:val="003B5B79"/>
    <w:rsid w:val="003C0853"/>
    <w:rsid w:val="003C7405"/>
    <w:rsid w:val="003D0A0B"/>
    <w:rsid w:val="003D1537"/>
    <w:rsid w:val="003D4CED"/>
    <w:rsid w:val="003D54E3"/>
    <w:rsid w:val="003D6584"/>
    <w:rsid w:val="003D6C68"/>
    <w:rsid w:val="003D6FFA"/>
    <w:rsid w:val="003E03DF"/>
    <w:rsid w:val="003E3980"/>
    <w:rsid w:val="003E3D09"/>
    <w:rsid w:val="003E4413"/>
    <w:rsid w:val="003E4595"/>
    <w:rsid w:val="003E5CEE"/>
    <w:rsid w:val="003F07A4"/>
    <w:rsid w:val="003F1635"/>
    <w:rsid w:val="003F1BDC"/>
    <w:rsid w:val="003F205C"/>
    <w:rsid w:val="003F3703"/>
    <w:rsid w:val="003F5FDC"/>
    <w:rsid w:val="003F7914"/>
    <w:rsid w:val="00400DBE"/>
    <w:rsid w:val="0040182F"/>
    <w:rsid w:val="004022F0"/>
    <w:rsid w:val="004066D9"/>
    <w:rsid w:val="004100DF"/>
    <w:rsid w:val="00410C36"/>
    <w:rsid w:val="0041290D"/>
    <w:rsid w:val="00414921"/>
    <w:rsid w:val="0041654A"/>
    <w:rsid w:val="00417583"/>
    <w:rsid w:val="00420E09"/>
    <w:rsid w:val="00426A14"/>
    <w:rsid w:val="004306C3"/>
    <w:rsid w:val="00432027"/>
    <w:rsid w:val="004351C0"/>
    <w:rsid w:val="0043524D"/>
    <w:rsid w:val="004353E9"/>
    <w:rsid w:val="00435911"/>
    <w:rsid w:val="004410C8"/>
    <w:rsid w:val="004423ED"/>
    <w:rsid w:val="004425DB"/>
    <w:rsid w:val="004437C1"/>
    <w:rsid w:val="00444CD7"/>
    <w:rsid w:val="00444F87"/>
    <w:rsid w:val="0044579A"/>
    <w:rsid w:val="004458D0"/>
    <w:rsid w:val="004503DF"/>
    <w:rsid w:val="00450DAA"/>
    <w:rsid w:val="004521A2"/>
    <w:rsid w:val="004540F4"/>
    <w:rsid w:val="00456F28"/>
    <w:rsid w:val="00457CF5"/>
    <w:rsid w:val="00461128"/>
    <w:rsid w:val="00461BD5"/>
    <w:rsid w:val="00471E2F"/>
    <w:rsid w:val="004748BA"/>
    <w:rsid w:val="004813A9"/>
    <w:rsid w:val="00481619"/>
    <w:rsid w:val="0048348B"/>
    <w:rsid w:val="00483BBB"/>
    <w:rsid w:val="0048555B"/>
    <w:rsid w:val="00486F67"/>
    <w:rsid w:val="004875CF"/>
    <w:rsid w:val="00491F8D"/>
    <w:rsid w:val="004922CB"/>
    <w:rsid w:val="004964D8"/>
    <w:rsid w:val="004A41BE"/>
    <w:rsid w:val="004B38BC"/>
    <w:rsid w:val="004B402E"/>
    <w:rsid w:val="004B7F1E"/>
    <w:rsid w:val="004C58D9"/>
    <w:rsid w:val="004C6FAE"/>
    <w:rsid w:val="004D1442"/>
    <w:rsid w:val="004D2B23"/>
    <w:rsid w:val="004D2C7A"/>
    <w:rsid w:val="004E02D4"/>
    <w:rsid w:val="004E23CC"/>
    <w:rsid w:val="004E5169"/>
    <w:rsid w:val="004E7C09"/>
    <w:rsid w:val="004F064E"/>
    <w:rsid w:val="004F49A2"/>
    <w:rsid w:val="004F68EC"/>
    <w:rsid w:val="0050020E"/>
    <w:rsid w:val="00500A3F"/>
    <w:rsid w:val="00500F28"/>
    <w:rsid w:val="0050664E"/>
    <w:rsid w:val="00507FCA"/>
    <w:rsid w:val="005106EC"/>
    <w:rsid w:val="005166BE"/>
    <w:rsid w:val="00517520"/>
    <w:rsid w:val="00520384"/>
    <w:rsid w:val="00521582"/>
    <w:rsid w:val="00523E9A"/>
    <w:rsid w:val="005256BF"/>
    <w:rsid w:val="00525982"/>
    <w:rsid w:val="00533087"/>
    <w:rsid w:val="005339E8"/>
    <w:rsid w:val="0053613D"/>
    <w:rsid w:val="00540090"/>
    <w:rsid w:val="00545F70"/>
    <w:rsid w:val="00546090"/>
    <w:rsid w:val="00547FF8"/>
    <w:rsid w:val="005522C6"/>
    <w:rsid w:val="005547C9"/>
    <w:rsid w:val="00554CB2"/>
    <w:rsid w:val="00555504"/>
    <w:rsid w:val="00556BE2"/>
    <w:rsid w:val="00562144"/>
    <w:rsid w:val="005628DB"/>
    <w:rsid w:val="00566E7F"/>
    <w:rsid w:val="00567715"/>
    <w:rsid w:val="0057118D"/>
    <w:rsid w:val="0058077C"/>
    <w:rsid w:val="00582CD6"/>
    <w:rsid w:val="005853C9"/>
    <w:rsid w:val="005907ED"/>
    <w:rsid w:val="00591207"/>
    <w:rsid w:val="005925B8"/>
    <w:rsid w:val="00592767"/>
    <w:rsid w:val="00592A82"/>
    <w:rsid w:val="005938A3"/>
    <w:rsid w:val="0059405D"/>
    <w:rsid w:val="005944F1"/>
    <w:rsid w:val="00596067"/>
    <w:rsid w:val="005975C5"/>
    <w:rsid w:val="005A04DA"/>
    <w:rsid w:val="005A0E0C"/>
    <w:rsid w:val="005A1D3B"/>
    <w:rsid w:val="005A656B"/>
    <w:rsid w:val="005A7A80"/>
    <w:rsid w:val="005B1EBF"/>
    <w:rsid w:val="005B46B6"/>
    <w:rsid w:val="005B6E84"/>
    <w:rsid w:val="005C02AD"/>
    <w:rsid w:val="005C390A"/>
    <w:rsid w:val="005D14F0"/>
    <w:rsid w:val="005D5074"/>
    <w:rsid w:val="005E10AF"/>
    <w:rsid w:val="005E471F"/>
    <w:rsid w:val="005E60CE"/>
    <w:rsid w:val="005E6FCB"/>
    <w:rsid w:val="005F2BA5"/>
    <w:rsid w:val="005F46BB"/>
    <w:rsid w:val="005F56E6"/>
    <w:rsid w:val="005F6C4C"/>
    <w:rsid w:val="005F7AF0"/>
    <w:rsid w:val="00600A03"/>
    <w:rsid w:val="00601CB1"/>
    <w:rsid w:val="00601F78"/>
    <w:rsid w:val="0060428C"/>
    <w:rsid w:val="00610405"/>
    <w:rsid w:val="00611935"/>
    <w:rsid w:val="00611A2E"/>
    <w:rsid w:val="0061370F"/>
    <w:rsid w:val="006152B4"/>
    <w:rsid w:val="0061745C"/>
    <w:rsid w:val="00620A07"/>
    <w:rsid w:val="00621608"/>
    <w:rsid w:val="00623EC3"/>
    <w:rsid w:val="00625E35"/>
    <w:rsid w:val="006261E0"/>
    <w:rsid w:val="006306DF"/>
    <w:rsid w:val="006310AA"/>
    <w:rsid w:val="006310DF"/>
    <w:rsid w:val="00631B05"/>
    <w:rsid w:val="00631C0A"/>
    <w:rsid w:val="0063453D"/>
    <w:rsid w:val="00634C57"/>
    <w:rsid w:val="00635FCF"/>
    <w:rsid w:val="00640570"/>
    <w:rsid w:val="00643E90"/>
    <w:rsid w:val="00645516"/>
    <w:rsid w:val="00646711"/>
    <w:rsid w:val="00647E58"/>
    <w:rsid w:val="006503F9"/>
    <w:rsid w:val="00651416"/>
    <w:rsid w:val="006547EF"/>
    <w:rsid w:val="00654F23"/>
    <w:rsid w:val="006560BD"/>
    <w:rsid w:val="00660240"/>
    <w:rsid w:val="006614E4"/>
    <w:rsid w:val="00661A67"/>
    <w:rsid w:val="0066395F"/>
    <w:rsid w:val="006646C0"/>
    <w:rsid w:val="00665F16"/>
    <w:rsid w:val="006663EA"/>
    <w:rsid w:val="00667FAD"/>
    <w:rsid w:val="00671C35"/>
    <w:rsid w:val="0067488B"/>
    <w:rsid w:val="00677C38"/>
    <w:rsid w:val="006829BB"/>
    <w:rsid w:val="00682C36"/>
    <w:rsid w:val="00684675"/>
    <w:rsid w:val="00684BF2"/>
    <w:rsid w:val="00684F9A"/>
    <w:rsid w:val="00685357"/>
    <w:rsid w:val="006946E9"/>
    <w:rsid w:val="006A28D0"/>
    <w:rsid w:val="006A3427"/>
    <w:rsid w:val="006A6F16"/>
    <w:rsid w:val="006B28F1"/>
    <w:rsid w:val="006B3C93"/>
    <w:rsid w:val="006B5AF0"/>
    <w:rsid w:val="006B5FE1"/>
    <w:rsid w:val="006B74DF"/>
    <w:rsid w:val="006B7B39"/>
    <w:rsid w:val="006C0A2C"/>
    <w:rsid w:val="006C35D2"/>
    <w:rsid w:val="006C4C05"/>
    <w:rsid w:val="006C62C5"/>
    <w:rsid w:val="006C6DDD"/>
    <w:rsid w:val="006C7C5A"/>
    <w:rsid w:val="006C7D2C"/>
    <w:rsid w:val="006D2855"/>
    <w:rsid w:val="006D309B"/>
    <w:rsid w:val="006D4D86"/>
    <w:rsid w:val="006D556D"/>
    <w:rsid w:val="006D6D4D"/>
    <w:rsid w:val="006D7314"/>
    <w:rsid w:val="006E018A"/>
    <w:rsid w:val="006E01D8"/>
    <w:rsid w:val="006E0A27"/>
    <w:rsid w:val="006E1A9F"/>
    <w:rsid w:val="006E27BE"/>
    <w:rsid w:val="006E6A44"/>
    <w:rsid w:val="006E74F7"/>
    <w:rsid w:val="006E7983"/>
    <w:rsid w:val="006F1DD6"/>
    <w:rsid w:val="006F4E9B"/>
    <w:rsid w:val="006F5A77"/>
    <w:rsid w:val="006F5BA9"/>
    <w:rsid w:val="00701766"/>
    <w:rsid w:val="00703747"/>
    <w:rsid w:val="00707179"/>
    <w:rsid w:val="0070735C"/>
    <w:rsid w:val="007103F0"/>
    <w:rsid w:val="00710DAE"/>
    <w:rsid w:val="0071191C"/>
    <w:rsid w:val="0071381A"/>
    <w:rsid w:val="0071747E"/>
    <w:rsid w:val="007201A6"/>
    <w:rsid w:val="00720BF3"/>
    <w:rsid w:val="00721002"/>
    <w:rsid w:val="00723F8A"/>
    <w:rsid w:val="00725D9E"/>
    <w:rsid w:val="00730A66"/>
    <w:rsid w:val="007319DA"/>
    <w:rsid w:val="00735ACF"/>
    <w:rsid w:val="00735DA4"/>
    <w:rsid w:val="007378F1"/>
    <w:rsid w:val="0074708D"/>
    <w:rsid w:val="007506E3"/>
    <w:rsid w:val="00752561"/>
    <w:rsid w:val="00752F88"/>
    <w:rsid w:val="00754996"/>
    <w:rsid w:val="007577CE"/>
    <w:rsid w:val="0076063D"/>
    <w:rsid w:val="0076762D"/>
    <w:rsid w:val="00767794"/>
    <w:rsid w:val="00767FA4"/>
    <w:rsid w:val="00770B17"/>
    <w:rsid w:val="00771316"/>
    <w:rsid w:val="00771BE2"/>
    <w:rsid w:val="007742E8"/>
    <w:rsid w:val="00776225"/>
    <w:rsid w:val="00784C49"/>
    <w:rsid w:val="00786E23"/>
    <w:rsid w:val="0079187A"/>
    <w:rsid w:val="00791B15"/>
    <w:rsid w:val="007935D0"/>
    <w:rsid w:val="00793663"/>
    <w:rsid w:val="00794D46"/>
    <w:rsid w:val="007953D5"/>
    <w:rsid w:val="00795B7B"/>
    <w:rsid w:val="0079618F"/>
    <w:rsid w:val="00797E95"/>
    <w:rsid w:val="007A05E2"/>
    <w:rsid w:val="007A1BB2"/>
    <w:rsid w:val="007A1DBC"/>
    <w:rsid w:val="007A3121"/>
    <w:rsid w:val="007A63BD"/>
    <w:rsid w:val="007A756C"/>
    <w:rsid w:val="007B0739"/>
    <w:rsid w:val="007B15D6"/>
    <w:rsid w:val="007B7418"/>
    <w:rsid w:val="007B7F33"/>
    <w:rsid w:val="007C0CA0"/>
    <w:rsid w:val="007C7324"/>
    <w:rsid w:val="007C7E08"/>
    <w:rsid w:val="007D0463"/>
    <w:rsid w:val="007D06FC"/>
    <w:rsid w:val="007D1238"/>
    <w:rsid w:val="007D26AF"/>
    <w:rsid w:val="007D5D7B"/>
    <w:rsid w:val="007D6459"/>
    <w:rsid w:val="007D70B3"/>
    <w:rsid w:val="007D7646"/>
    <w:rsid w:val="007E66F2"/>
    <w:rsid w:val="007F25BE"/>
    <w:rsid w:val="007F4EBF"/>
    <w:rsid w:val="007F6A55"/>
    <w:rsid w:val="007F7F3D"/>
    <w:rsid w:val="008009C6"/>
    <w:rsid w:val="00800DD4"/>
    <w:rsid w:val="00802E23"/>
    <w:rsid w:val="00805316"/>
    <w:rsid w:val="008067B8"/>
    <w:rsid w:val="00806896"/>
    <w:rsid w:val="0081455E"/>
    <w:rsid w:val="00815911"/>
    <w:rsid w:val="00815C2B"/>
    <w:rsid w:val="00816353"/>
    <w:rsid w:val="0083274B"/>
    <w:rsid w:val="008336F5"/>
    <w:rsid w:val="00834D75"/>
    <w:rsid w:val="008358F3"/>
    <w:rsid w:val="008377C4"/>
    <w:rsid w:val="008435FE"/>
    <w:rsid w:val="0084471E"/>
    <w:rsid w:val="00844729"/>
    <w:rsid w:val="00845BE7"/>
    <w:rsid w:val="00846B9C"/>
    <w:rsid w:val="008512FC"/>
    <w:rsid w:val="00851C87"/>
    <w:rsid w:val="008526B0"/>
    <w:rsid w:val="00852A75"/>
    <w:rsid w:val="00854863"/>
    <w:rsid w:val="00857F8B"/>
    <w:rsid w:val="00861E5A"/>
    <w:rsid w:val="008640AA"/>
    <w:rsid w:val="0086545E"/>
    <w:rsid w:val="008660C6"/>
    <w:rsid w:val="00870E59"/>
    <w:rsid w:val="00873570"/>
    <w:rsid w:val="00880E98"/>
    <w:rsid w:val="00883983"/>
    <w:rsid w:val="00884F8A"/>
    <w:rsid w:val="0088561F"/>
    <w:rsid w:val="00885777"/>
    <w:rsid w:val="00885845"/>
    <w:rsid w:val="00885BFB"/>
    <w:rsid w:val="0088772D"/>
    <w:rsid w:val="008910AB"/>
    <w:rsid w:val="008914C7"/>
    <w:rsid w:val="008915F4"/>
    <w:rsid w:val="008931D1"/>
    <w:rsid w:val="00894C2D"/>
    <w:rsid w:val="00897892"/>
    <w:rsid w:val="008A1BA0"/>
    <w:rsid w:val="008A6330"/>
    <w:rsid w:val="008A7B54"/>
    <w:rsid w:val="008B1ED5"/>
    <w:rsid w:val="008B3342"/>
    <w:rsid w:val="008B5673"/>
    <w:rsid w:val="008C4368"/>
    <w:rsid w:val="008C5807"/>
    <w:rsid w:val="008D55A4"/>
    <w:rsid w:val="008D638B"/>
    <w:rsid w:val="008D63F8"/>
    <w:rsid w:val="008D6F1F"/>
    <w:rsid w:val="008E06B6"/>
    <w:rsid w:val="008E525C"/>
    <w:rsid w:val="008E74A0"/>
    <w:rsid w:val="008E7C70"/>
    <w:rsid w:val="008F0273"/>
    <w:rsid w:val="008F7970"/>
    <w:rsid w:val="0090044F"/>
    <w:rsid w:val="0090166F"/>
    <w:rsid w:val="009021E3"/>
    <w:rsid w:val="009051FD"/>
    <w:rsid w:val="009067B8"/>
    <w:rsid w:val="009107E6"/>
    <w:rsid w:val="00910DC7"/>
    <w:rsid w:val="00911169"/>
    <w:rsid w:val="00911AB0"/>
    <w:rsid w:val="009143BA"/>
    <w:rsid w:val="00914E8A"/>
    <w:rsid w:val="009155C4"/>
    <w:rsid w:val="00915E5E"/>
    <w:rsid w:val="0091683B"/>
    <w:rsid w:val="00917CEA"/>
    <w:rsid w:val="00920E4E"/>
    <w:rsid w:val="0092361B"/>
    <w:rsid w:val="00923EED"/>
    <w:rsid w:val="00933393"/>
    <w:rsid w:val="009358DD"/>
    <w:rsid w:val="00937DB2"/>
    <w:rsid w:val="00940CBE"/>
    <w:rsid w:val="00941465"/>
    <w:rsid w:val="009433FF"/>
    <w:rsid w:val="00945829"/>
    <w:rsid w:val="009479B2"/>
    <w:rsid w:val="00950CD7"/>
    <w:rsid w:val="00961D5C"/>
    <w:rsid w:val="009630CC"/>
    <w:rsid w:val="0096357B"/>
    <w:rsid w:val="00963B2D"/>
    <w:rsid w:val="00967A04"/>
    <w:rsid w:val="00970DD1"/>
    <w:rsid w:val="0097332F"/>
    <w:rsid w:val="00974591"/>
    <w:rsid w:val="009765BA"/>
    <w:rsid w:val="009771A7"/>
    <w:rsid w:val="00980B4A"/>
    <w:rsid w:val="00982716"/>
    <w:rsid w:val="009848B4"/>
    <w:rsid w:val="0098537E"/>
    <w:rsid w:val="0098762D"/>
    <w:rsid w:val="00987691"/>
    <w:rsid w:val="00992195"/>
    <w:rsid w:val="009935A1"/>
    <w:rsid w:val="00994163"/>
    <w:rsid w:val="00996659"/>
    <w:rsid w:val="009A0439"/>
    <w:rsid w:val="009A1785"/>
    <w:rsid w:val="009A2101"/>
    <w:rsid w:val="009A3FFA"/>
    <w:rsid w:val="009A42F3"/>
    <w:rsid w:val="009A743B"/>
    <w:rsid w:val="009B297A"/>
    <w:rsid w:val="009B5C15"/>
    <w:rsid w:val="009C34C4"/>
    <w:rsid w:val="009C516B"/>
    <w:rsid w:val="009C72F9"/>
    <w:rsid w:val="009D02E6"/>
    <w:rsid w:val="009D13A4"/>
    <w:rsid w:val="009D51E9"/>
    <w:rsid w:val="009D5E6A"/>
    <w:rsid w:val="009D64D1"/>
    <w:rsid w:val="009E2C2A"/>
    <w:rsid w:val="009E506A"/>
    <w:rsid w:val="009F1B40"/>
    <w:rsid w:val="009F39DA"/>
    <w:rsid w:val="009F3B9F"/>
    <w:rsid w:val="009F3E52"/>
    <w:rsid w:val="009F58BB"/>
    <w:rsid w:val="00A007C7"/>
    <w:rsid w:val="00A00CC7"/>
    <w:rsid w:val="00A01BF9"/>
    <w:rsid w:val="00A112C4"/>
    <w:rsid w:val="00A12261"/>
    <w:rsid w:val="00A1335E"/>
    <w:rsid w:val="00A14CCE"/>
    <w:rsid w:val="00A16A88"/>
    <w:rsid w:val="00A16C7A"/>
    <w:rsid w:val="00A206D1"/>
    <w:rsid w:val="00A21E6B"/>
    <w:rsid w:val="00A2374E"/>
    <w:rsid w:val="00A27A78"/>
    <w:rsid w:val="00A318E9"/>
    <w:rsid w:val="00A31B18"/>
    <w:rsid w:val="00A32328"/>
    <w:rsid w:val="00A32CFC"/>
    <w:rsid w:val="00A334B8"/>
    <w:rsid w:val="00A33BC2"/>
    <w:rsid w:val="00A36998"/>
    <w:rsid w:val="00A36C91"/>
    <w:rsid w:val="00A40FDA"/>
    <w:rsid w:val="00A4105C"/>
    <w:rsid w:val="00A447B5"/>
    <w:rsid w:val="00A50838"/>
    <w:rsid w:val="00A52133"/>
    <w:rsid w:val="00A5778E"/>
    <w:rsid w:val="00A60301"/>
    <w:rsid w:val="00A6141C"/>
    <w:rsid w:val="00A61D58"/>
    <w:rsid w:val="00A661F5"/>
    <w:rsid w:val="00A718D4"/>
    <w:rsid w:val="00A71FFE"/>
    <w:rsid w:val="00A721BC"/>
    <w:rsid w:val="00A7710E"/>
    <w:rsid w:val="00A80D27"/>
    <w:rsid w:val="00A8503C"/>
    <w:rsid w:val="00A87670"/>
    <w:rsid w:val="00A94221"/>
    <w:rsid w:val="00A95F6B"/>
    <w:rsid w:val="00A95F7D"/>
    <w:rsid w:val="00A97819"/>
    <w:rsid w:val="00AA17A1"/>
    <w:rsid w:val="00AA3FB9"/>
    <w:rsid w:val="00AA576E"/>
    <w:rsid w:val="00AA68DA"/>
    <w:rsid w:val="00AA6F5F"/>
    <w:rsid w:val="00AB0936"/>
    <w:rsid w:val="00AB3A85"/>
    <w:rsid w:val="00AB6D32"/>
    <w:rsid w:val="00AC018F"/>
    <w:rsid w:val="00AC2732"/>
    <w:rsid w:val="00AC40D5"/>
    <w:rsid w:val="00AC5CB6"/>
    <w:rsid w:val="00AC73DE"/>
    <w:rsid w:val="00AD116C"/>
    <w:rsid w:val="00AD3324"/>
    <w:rsid w:val="00AD61B0"/>
    <w:rsid w:val="00AD692F"/>
    <w:rsid w:val="00AE02B3"/>
    <w:rsid w:val="00AE2913"/>
    <w:rsid w:val="00AE3826"/>
    <w:rsid w:val="00AE4CF1"/>
    <w:rsid w:val="00AE7CFE"/>
    <w:rsid w:val="00AF335F"/>
    <w:rsid w:val="00AF5872"/>
    <w:rsid w:val="00B02263"/>
    <w:rsid w:val="00B04E06"/>
    <w:rsid w:val="00B05594"/>
    <w:rsid w:val="00B1030A"/>
    <w:rsid w:val="00B13397"/>
    <w:rsid w:val="00B1394A"/>
    <w:rsid w:val="00B14879"/>
    <w:rsid w:val="00B23807"/>
    <w:rsid w:val="00B24369"/>
    <w:rsid w:val="00B31869"/>
    <w:rsid w:val="00B32D7B"/>
    <w:rsid w:val="00B40165"/>
    <w:rsid w:val="00B4105E"/>
    <w:rsid w:val="00B52668"/>
    <w:rsid w:val="00B52737"/>
    <w:rsid w:val="00B52AB8"/>
    <w:rsid w:val="00B624A0"/>
    <w:rsid w:val="00B63441"/>
    <w:rsid w:val="00B64F9F"/>
    <w:rsid w:val="00B66306"/>
    <w:rsid w:val="00B7225F"/>
    <w:rsid w:val="00B72B3D"/>
    <w:rsid w:val="00B72B84"/>
    <w:rsid w:val="00B76472"/>
    <w:rsid w:val="00B76540"/>
    <w:rsid w:val="00B852AC"/>
    <w:rsid w:val="00B85B73"/>
    <w:rsid w:val="00B91485"/>
    <w:rsid w:val="00B9174E"/>
    <w:rsid w:val="00B9209A"/>
    <w:rsid w:val="00BA0D70"/>
    <w:rsid w:val="00BA18D3"/>
    <w:rsid w:val="00BA507F"/>
    <w:rsid w:val="00BA6A61"/>
    <w:rsid w:val="00BB1AA0"/>
    <w:rsid w:val="00BB5878"/>
    <w:rsid w:val="00BB5DDE"/>
    <w:rsid w:val="00BB7E6F"/>
    <w:rsid w:val="00BC1262"/>
    <w:rsid w:val="00BC1B09"/>
    <w:rsid w:val="00BC3859"/>
    <w:rsid w:val="00BC4010"/>
    <w:rsid w:val="00BC62B6"/>
    <w:rsid w:val="00BC6C2E"/>
    <w:rsid w:val="00BD146C"/>
    <w:rsid w:val="00BD1A4A"/>
    <w:rsid w:val="00BD338A"/>
    <w:rsid w:val="00BD3E56"/>
    <w:rsid w:val="00BE0CA9"/>
    <w:rsid w:val="00BE2BB1"/>
    <w:rsid w:val="00BE2C13"/>
    <w:rsid w:val="00BE2CE6"/>
    <w:rsid w:val="00BE38A4"/>
    <w:rsid w:val="00BE47BD"/>
    <w:rsid w:val="00BE5EC3"/>
    <w:rsid w:val="00BE78F5"/>
    <w:rsid w:val="00BF05CD"/>
    <w:rsid w:val="00BF1976"/>
    <w:rsid w:val="00BF5574"/>
    <w:rsid w:val="00BF5D87"/>
    <w:rsid w:val="00C03272"/>
    <w:rsid w:val="00C05064"/>
    <w:rsid w:val="00C07127"/>
    <w:rsid w:val="00C109E3"/>
    <w:rsid w:val="00C11B91"/>
    <w:rsid w:val="00C1383B"/>
    <w:rsid w:val="00C24020"/>
    <w:rsid w:val="00C3174C"/>
    <w:rsid w:val="00C32021"/>
    <w:rsid w:val="00C34B72"/>
    <w:rsid w:val="00C3747D"/>
    <w:rsid w:val="00C472CC"/>
    <w:rsid w:val="00C52015"/>
    <w:rsid w:val="00C52920"/>
    <w:rsid w:val="00C55072"/>
    <w:rsid w:val="00C56BFA"/>
    <w:rsid w:val="00C60216"/>
    <w:rsid w:val="00C62089"/>
    <w:rsid w:val="00C6275B"/>
    <w:rsid w:val="00C62F3D"/>
    <w:rsid w:val="00C633E3"/>
    <w:rsid w:val="00C74895"/>
    <w:rsid w:val="00C74FED"/>
    <w:rsid w:val="00C809EB"/>
    <w:rsid w:val="00C82E19"/>
    <w:rsid w:val="00C83CEC"/>
    <w:rsid w:val="00C84349"/>
    <w:rsid w:val="00C84696"/>
    <w:rsid w:val="00C84DF2"/>
    <w:rsid w:val="00C86E32"/>
    <w:rsid w:val="00C90107"/>
    <w:rsid w:val="00C9232A"/>
    <w:rsid w:val="00C946CE"/>
    <w:rsid w:val="00C96072"/>
    <w:rsid w:val="00CA1A5A"/>
    <w:rsid w:val="00CA2AE4"/>
    <w:rsid w:val="00CA2B3C"/>
    <w:rsid w:val="00CA2CD9"/>
    <w:rsid w:val="00CA2E9B"/>
    <w:rsid w:val="00CA697E"/>
    <w:rsid w:val="00CB4571"/>
    <w:rsid w:val="00CB5766"/>
    <w:rsid w:val="00CB6353"/>
    <w:rsid w:val="00CC1A83"/>
    <w:rsid w:val="00CC2312"/>
    <w:rsid w:val="00CC31EF"/>
    <w:rsid w:val="00CC35AB"/>
    <w:rsid w:val="00CC45E3"/>
    <w:rsid w:val="00CC53D0"/>
    <w:rsid w:val="00CC5EB2"/>
    <w:rsid w:val="00CC7AB6"/>
    <w:rsid w:val="00CD05D7"/>
    <w:rsid w:val="00CD17A4"/>
    <w:rsid w:val="00CD48BB"/>
    <w:rsid w:val="00CD4A84"/>
    <w:rsid w:val="00CD4C3A"/>
    <w:rsid w:val="00CD5C6F"/>
    <w:rsid w:val="00CD738B"/>
    <w:rsid w:val="00CE31AD"/>
    <w:rsid w:val="00CE5281"/>
    <w:rsid w:val="00CF18E4"/>
    <w:rsid w:val="00CF1CEA"/>
    <w:rsid w:val="00CF3394"/>
    <w:rsid w:val="00CF5FE9"/>
    <w:rsid w:val="00CF6014"/>
    <w:rsid w:val="00CF7652"/>
    <w:rsid w:val="00D0385E"/>
    <w:rsid w:val="00D048A6"/>
    <w:rsid w:val="00D07209"/>
    <w:rsid w:val="00D0747F"/>
    <w:rsid w:val="00D10058"/>
    <w:rsid w:val="00D118D1"/>
    <w:rsid w:val="00D12380"/>
    <w:rsid w:val="00D155B6"/>
    <w:rsid w:val="00D2015B"/>
    <w:rsid w:val="00D23136"/>
    <w:rsid w:val="00D2434E"/>
    <w:rsid w:val="00D26A33"/>
    <w:rsid w:val="00D26EA2"/>
    <w:rsid w:val="00D404F3"/>
    <w:rsid w:val="00D41290"/>
    <w:rsid w:val="00D413A7"/>
    <w:rsid w:val="00D42BAB"/>
    <w:rsid w:val="00D43429"/>
    <w:rsid w:val="00D45CC9"/>
    <w:rsid w:val="00D46424"/>
    <w:rsid w:val="00D46506"/>
    <w:rsid w:val="00D469AD"/>
    <w:rsid w:val="00D500A6"/>
    <w:rsid w:val="00D53100"/>
    <w:rsid w:val="00D54B60"/>
    <w:rsid w:val="00D56C23"/>
    <w:rsid w:val="00D61168"/>
    <w:rsid w:val="00D61870"/>
    <w:rsid w:val="00D62BCA"/>
    <w:rsid w:val="00D67565"/>
    <w:rsid w:val="00D725BC"/>
    <w:rsid w:val="00D74008"/>
    <w:rsid w:val="00D75338"/>
    <w:rsid w:val="00D77E4A"/>
    <w:rsid w:val="00D804A9"/>
    <w:rsid w:val="00D807BC"/>
    <w:rsid w:val="00D82DB4"/>
    <w:rsid w:val="00D84E4E"/>
    <w:rsid w:val="00D85956"/>
    <w:rsid w:val="00D85EDC"/>
    <w:rsid w:val="00D86512"/>
    <w:rsid w:val="00D90155"/>
    <w:rsid w:val="00D958B6"/>
    <w:rsid w:val="00D97A48"/>
    <w:rsid w:val="00DA08C6"/>
    <w:rsid w:val="00DA5E2E"/>
    <w:rsid w:val="00DA6889"/>
    <w:rsid w:val="00DB0392"/>
    <w:rsid w:val="00DB0BA0"/>
    <w:rsid w:val="00DB2116"/>
    <w:rsid w:val="00DB34FF"/>
    <w:rsid w:val="00DB713B"/>
    <w:rsid w:val="00DC0431"/>
    <w:rsid w:val="00DC1150"/>
    <w:rsid w:val="00DC1405"/>
    <w:rsid w:val="00DC321C"/>
    <w:rsid w:val="00DC5BFA"/>
    <w:rsid w:val="00DC6119"/>
    <w:rsid w:val="00DC6406"/>
    <w:rsid w:val="00DD035D"/>
    <w:rsid w:val="00DD1DBB"/>
    <w:rsid w:val="00DD3040"/>
    <w:rsid w:val="00DD643E"/>
    <w:rsid w:val="00DD7DA6"/>
    <w:rsid w:val="00DE1A12"/>
    <w:rsid w:val="00DE2810"/>
    <w:rsid w:val="00DE4A43"/>
    <w:rsid w:val="00DE6341"/>
    <w:rsid w:val="00DE752F"/>
    <w:rsid w:val="00DF0788"/>
    <w:rsid w:val="00DF143E"/>
    <w:rsid w:val="00DF3B71"/>
    <w:rsid w:val="00DF5744"/>
    <w:rsid w:val="00E01CEB"/>
    <w:rsid w:val="00E03ABC"/>
    <w:rsid w:val="00E0427F"/>
    <w:rsid w:val="00E06658"/>
    <w:rsid w:val="00E06CD6"/>
    <w:rsid w:val="00E10FF3"/>
    <w:rsid w:val="00E11853"/>
    <w:rsid w:val="00E1236A"/>
    <w:rsid w:val="00E12452"/>
    <w:rsid w:val="00E134C8"/>
    <w:rsid w:val="00E13D67"/>
    <w:rsid w:val="00E17497"/>
    <w:rsid w:val="00E22375"/>
    <w:rsid w:val="00E25D83"/>
    <w:rsid w:val="00E266DB"/>
    <w:rsid w:val="00E31429"/>
    <w:rsid w:val="00E35EFC"/>
    <w:rsid w:val="00E36B2A"/>
    <w:rsid w:val="00E3774A"/>
    <w:rsid w:val="00E37CC2"/>
    <w:rsid w:val="00E43B44"/>
    <w:rsid w:val="00E450C6"/>
    <w:rsid w:val="00E51034"/>
    <w:rsid w:val="00E54C88"/>
    <w:rsid w:val="00E5599C"/>
    <w:rsid w:val="00E5787C"/>
    <w:rsid w:val="00E57DD4"/>
    <w:rsid w:val="00E60744"/>
    <w:rsid w:val="00E611EB"/>
    <w:rsid w:val="00E66385"/>
    <w:rsid w:val="00E66C52"/>
    <w:rsid w:val="00E7001E"/>
    <w:rsid w:val="00E7058C"/>
    <w:rsid w:val="00E72DC0"/>
    <w:rsid w:val="00E75C82"/>
    <w:rsid w:val="00E76942"/>
    <w:rsid w:val="00E807D1"/>
    <w:rsid w:val="00E817E4"/>
    <w:rsid w:val="00E8500D"/>
    <w:rsid w:val="00E8738D"/>
    <w:rsid w:val="00E93486"/>
    <w:rsid w:val="00E949C5"/>
    <w:rsid w:val="00E94F38"/>
    <w:rsid w:val="00E96E64"/>
    <w:rsid w:val="00E9741E"/>
    <w:rsid w:val="00EA2047"/>
    <w:rsid w:val="00EA6102"/>
    <w:rsid w:val="00EB01A1"/>
    <w:rsid w:val="00EB1DFA"/>
    <w:rsid w:val="00EB24B3"/>
    <w:rsid w:val="00EB2FC2"/>
    <w:rsid w:val="00EB5F0A"/>
    <w:rsid w:val="00EB6E00"/>
    <w:rsid w:val="00EC02BF"/>
    <w:rsid w:val="00EC0602"/>
    <w:rsid w:val="00EC7039"/>
    <w:rsid w:val="00EC7841"/>
    <w:rsid w:val="00ED04BE"/>
    <w:rsid w:val="00ED0E78"/>
    <w:rsid w:val="00ED15E6"/>
    <w:rsid w:val="00ED421E"/>
    <w:rsid w:val="00ED767C"/>
    <w:rsid w:val="00EE413E"/>
    <w:rsid w:val="00EE4923"/>
    <w:rsid w:val="00EE6E39"/>
    <w:rsid w:val="00EE6F33"/>
    <w:rsid w:val="00EF0858"/>
    <w:rsid w:val="00EF19BF"/>
    <w:rsid w:val="00EF38C5"/>
    <w:rsid w:val="00F00CED"/>
    <w:rsid w:val="00F01F7B"/>
    <w:rsid w:val="00F0655F"/>
    <w:rsid w:val="00F06F93"/>
    <w:rsid w:val="00F10FCE"/>
    <w:rsid w:val="00F127A2"/>
    <w:rsid w:val="00F1530B"/>
    <w:rsid w:val="00F169B5"/>
    <w:rsid w:val="00F17FFD"/>
    <w:rsid w:val="00F20122"/>
    <w:rsid w:val="00F20AB0"/>
    <w:rsid w:val="00F23AB7"/>
    <w:rsid w:val="00F2440D"/>
    <w:rsid w:val="00F250C0"/>
    <w:rsid w:val="00F25BE0"/>
    <w:rsid w:val="00F25F7D"/>
    <w:rsid w:val="00F26B49"/>
    <w:rsid w:val="00F27628"/>
    <w:rsid w:val="00F3075D"/>
    <w:rsid w:val="00F31E56"/>
    <w:rsid w:val="00F34D3B"/>
    <w:rsid w:val="00F37977"/>
    <w:rsid w:val="00F37B22"/>
    <w:rsid w:val="00F42AA7"/>
    <w:rsid w:val="00F436F9"/>
    <w:rsid w:val="00F443D9"/>
    <w:rsid w:val="00F45FDD"/>
    <w:rsid w:val="00F463B8"/>
    <w:rsid w:val="00F4663D"/>
    <w:rsid w:val="00F546C3"/>
    <w:rsid w:val="00F564F9"/>
    <w:rsid w:val="00F57041"/>
    <w:rsid w:val="00F60130"/>
    <w:rsid w:val="00F60744"/>
    <w:rsid w:val="00F60D54"/>
    <w:rsid w:val="00F6100C"/>
    <w:rsid w:val="00F63B90"/>
    <w:rsid w:val="00F64916"/>
    <w:rsid w:val="00F664E7"/>
    <w:rsid w:val="00F673B7"/>
    <w:rsid w:val="00F717EF"/>
    <w:rsid w:val="00F71B75"/>
    <w:rsid w:val="00F71DA9"/>
    <w:rsid w:val="00F72589"/>
    <w:rsid w:val="00F7505B"/>
    <w:rsid w:val="00F7777D"/>
    <w:rsid w:val="00F77B59"/>
    <w:rsid w:val="00F77D88"/>
    <w:rsid w:val="00F8442E"/>
    <w:rsid w:val="00F84C00"/>
    <w:rsid w:val="00F85232"/>
    <w:rsid w:val="00F85FB5"/>
    <w:rsid w:val="00F87CDA"/>
    <w:rsid w:val="00F915A1"/>
    <w:rsid w:val="00F926B6"/>
    <w:rsid w:val="00F97899"/>
    <w:rsid w:val="00FA6C16"/>
    <w:rsid w:val="00FA79D1"/>
    <w:rsid w:val="00FB0511"/>
    <w:rsid w:val="00FB18AB"/>
    <w:rsid w:val="00FB7405"/>
    <w:rsid w:val="00FC025A"/>
    <w:rsid w:val="00FC2118"/>
    <w:rsid w:val="00FC213A"/>
    <w:rsid w:val="00FC314D"/>
    <w:rsid w:val="00FC5736"/>
    <w:rsid w:val="00FC6B4C"/>
    <w:rsid w:val="00FC7A29"/>
    <w:rsid w:val="00FD09F3"/>
    <w:rsid w:val="00FD4E2D"/>
    <w:rsid w:val="00FD6431"/>
    <w:rsid w:val="00FE2A1D"/>
    <w:rsid w:val="00FE4042"/>
    <w:rsid w:val="00FE5B20"/>
    <w:rsid w:val="00FE5D19"/>
    <w:rsid w:val="00FE63AD"/>
    <w:rsid w:val="00FE6654"/>
    <w:rsid w:val="00FE6B6D"/>
    <w:rsid w:val="00FE7EFB"/>
    <w:rsid w:val="00FF07C1"/>
    <w:rsid w:val="00FF276B"/>
    <w:rsid w:val="00FF33C7"/>
    <w:rsid w:val="0111C82D"/>
    <w:rsid w:val="0146E998"/>
    <w:rsid w:val="015A8401"/>
    <w:rsid w:val="01DAA141"/>
    <w:rsid w:val="02102C6C"/>
    <w:rsid w:val="021B2A22"/>
    <w:rsid w:val="024DCAB9"/>
    <w:rsid w:val="02D0D116"/>
    <w:rsid w:val="03C8D2BD"/>
    <w:rsid w:val="03D824E7"/>
    <w:rsid w:val="0724C241"/>
    <w:rsid w:val="082A4C3F"/>
    <w:rsid w:val="08E9B1D2"/>
    <w:rsid w:val="099B73FF"/>
    <w:rsid w:val="0A2D4809"/>
    <w:rsid w:val="0AC6D687"/>
    <w:rsid w:val="0AD3141C"/>
    <w:rsid w:val="0AEB7AED"/>
    <w:rsid w:val="0BBCCD7D"/>
    <w:rsid w:val="0C3F15CE"/>
    <w:rsid w:val="0C5DED5E"/>
    <w:rsid w:val="0F82DB9C"/>
    <w:rsid w:val="0FD92FFB"/>
    <w:rsid w:val="0FE1EAA1"/>
    <w:rsid w:val="109B6DE4"/>
    <w:rsid w:val="10BFFEC4"/>
    <w:rsid w:val="1130D123"/>
    <w:rsid w:val="11793E45"/>
    <w:rsid w:val="136CC4B8"/>
    <w:rsid w:val="1386F853"/>
    <w:rsid w:val="138B7000"/>
    <w:rsid w:val="13FB236C"/>
    <w:rsid w:val="14F895DA"/>
    <w:rsid w:val="1773FC1F"/>
    <w:rsid w:val="18751BB8"/>
    <w:rsid w:val="19E43BDE"/>
    <w:rsid w:val="1B0608D5"/>
    <w:rsid w:val="1BDE3D54"/>
    <w:rsid w:val="1BEEA88D"/>
    <w:rsid w:val="1D4E0E2B"/>
    <w:rsid w:val="1D835BFD"/>
    <w:rsid w:val="1E2D276F"/>
    <w:rsid w:val="1ED71770"/>
    <w:rsid w:val="1F3BB061"/>
    <w:rsid w:val="1F7E4C7B"/>
    <w:rsid w:val="1FCE9D79"/>
    <w:rsid w:val="1FD0F0CE"/>
    <w:rsid w:val="21E22A93"/>
    <w:rsid w:val="225C5DBD"/>
    <w:rsid w:val="22DB3421"/>
    <w:rsid w:val="235B28B7"/>
    <w:rsid w:val="23BDB04B"/>
    <w:rsid w:val="240C4B98"/>
    <w:rsid w:val="25E2A302"/>
    <w:rsid w:val="261F9758"/>
    <w:rsid w:val="26AE69E7"/>
    <w:rsid w:val="28A3C571"/>
    <w:rsid w:val="28AEAE31"/>
    <w:rsid w:val="2921EA06"/>
    <w:rsid w:val="29C2ECB7"/>
    <w:rsid w:val="2B821ACB"/>
    <w:rsid w:val="2C8D5E98"/>
    <w:rsid w:val="2EEA6CE4"/>
    <w:rsid w:val="312DDEAE"/>
    <w:rsid w:val="3161B6E7"/>
    <w:rsid w:val="347BC78E"/>
    <w:rsid w:val="36595E64"/>
    <w:rsid w:val="38B9D25A"/>
    <w:rsid w:val="3A2E952C"/>
    <w:rsid w:val="3B63F41B"/>
    <w:rsid w:val="3DC5639D"/>
    <w:rsid w:val="3E86AA85"/>
    <w:rsid w:val="3EB5DB4E"/>
    <w:rsid w:val="3EBF5D95"/>
    <w:rsid w:val="41538096"/>
    <w:rsid w:val="428E9DED"/>
    <w:rsid w:val="435CBA80"/>
    <w:rsid w:val="43CFB001"/>
    <w:rsid w:val="4491021A"/>
    <w:rsid w:val="44AE55C2"/>
    <w:rsid w:val="4522035B"/>
    <w:rsid w:val="4561729A"/>
    <w:rsid w:val="46A6A270"/>
    <w:rsid w:val="46E0E569"/>
    <w:rsid w:val="472FA8DF"/>
    <w:rsid w:val="48019F7E"/>
    <w:rsid w:val="4917D44C"/>
    <w:rsid w:val="49B67600"/>
    <w:rsid w:val="4BA9E46F"/>
    <w:rsid w:val="4C2A0FAC"/>
    <w:rsid w:val="4C862F36"/>
    <w:rsid w:val="4CD52E89"/>
    <w:rsid w:val="4DBCCFB4"/>
    <w:rsid w:val="4EDC88DD"/>
    <w:rsid w:val="4F39E1ED"/>
    <w:rsid w:val="4F5CF7E2"/>
    <w:rsid w:val="51896FE8"/>
    <w:rsid w:val="52BD35B7"/>
    <w:rsid w:val="52F5A0DB"/>
    <w:rsid w:val="5438DD56"/>
    <w:rsid w:val="55C1AB9E"/>
    <w:rsid w:val="59ED93FC"/>
    <w:rsid w:val="5A4B0CA4"/>
    <w:rsid w:val="5C3C8ED7"/>
    <w:rsid w:val="5C548DEF"/>
    <w:rsid w:val="5D4C8D84"/>
    <w:rsid w:val="616BCBA7"/>
    <w:rsid w:val="6189E8FB"/>
    <w:rsid w:val="61D608FD"/>
    <w:rsid w:val="61EFF99C"/>
    <w:rsid w:val="6412E445"/>
    <w:rsid w:val="65142F63"/>
    <w:rsid w:val="66585584"/>
    <w:rsid w:val="69BEF8A7"/>
    <w:rsid w:val="6A1E5979"/>
    <w:rsid w:val="6AD116CD"/>
    <w:rsid w:val="6D537207"/>
    <w:rsid w:val="6D80ED21"/>
    <w:rsid w:val="6E4B54C0"/>
    <w:rsid w:val="70667B6C"/>
    <w:rsid w:val="71628BA8"/>
    <w:rsid w:val="73699C0F"/>
    <w:rsid w:val="73901471"/>
    <w:rsid w:val="74537EFA"/>
    <w:rsid w:val="74EE10CC"/>
    <w:rsid w:val="76B34C1F"/>
    <w:rsid w:val="7705A6EE"/>
    <w:rsid w:val="78E54136"/>
    <w:rsid w:val="7BA79BC8"/>
    <w:rsid w:val="7D542615"/>
    <w:rsid w:val="7DB5F9CE"/>
    <w:rsid w:val="7F4DD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FD77BC6F-1AC9-4CB7-9E11-882EA999A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5D9E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tabs>
        <w:tab w:val="clear" w:pos="567"/>
        <w:tab w:val="num" w:pos="360"/>
      </w:tabs>
      <w:spacing w:before="240" w:after="60"/>
      <w:ind w:left="0" w:firstLine="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tabs>
        <w:tab w:val="clear" w:pos="567"/>
        <w:tab w:val="num" w:pos="360"/>
      </w:tabs>
      <w:spacing w:before="300" w:after="180"/>
      <w:ind w:left="0" w:firstLine="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customStyle="1" w:styleId="DocText">
    <w:name w:val="DocText"/>
    <w:basedOn w:val="Normln"/>
    <w:rsid w:val="004813A9"/>
    <w:pPr>
      <w:numPr>
        <w:numId w:val="12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4813A9"/>
    <w:pPr>
      <w:numPr>
        <w:ilvl w:val="1"/>
      </w:numPr>
    </w:pPr>
  </w:style>
  <w:style w:type="paragraph" w:customStyle="1" w:styleId="DocTextL2">
    <w:name w:val="DocTextL2"/>
    <w:basedOn w:val="DocText"/>
    <w:rsid w:val="004813A9"/>
    <w:pPr>
      <w:numPr>
        <w:ilvl w:val="2"/>
      </w:numPr>
    </w:pPr>
  </w:style>
  <w:style w:type="paragraph" w:customStyle="1" w:styleId="DocTextL3">
    <w:name w:val="DocTextL3"/>
    <w:basedOn w:val="DocText"/>
    <w:rsid w:val="004813A9"/>
    <w:pPr>
      <w:numPr>
        <w:ilvl w:val="3"/>
      </w:numPr>
    </w:pPr>
  </w:style>
  <w:style w:type="paragraph" w:customStyle="1" w:styleId="DocTextL4">
    <w:name w:val="DocTextL4"/>
    <w:basedOn w:val="DocText"/>
    <w:rsid w:val="004813A9"/>
    <w:pPr>
      <w:numPr>
        <w:ilvl w:val="4"/>
      </w:numPr>
    </w:pPr>
  </w:style>
  <w:style w:type="paragraph" w:customStyle="1" w:styleId="DocTextL5">
    <w:name w:val="DocTextL5"/>
    <w:basedOn w:val="DocText"/>
    <w:rsid w:val="004813A9"/>
    <w:pPr>
      <w:numPr>
        <w:ilvl w:val="5"/>
      </w:numPr>
    </w:pPr>
  </w:style>
  <w:style w:type="paragraph" w:customStyle="1" w:styleId="DocTextL6">
    <w:name w:val="DocTextL6"/>
    <w:basedOn w:val="DocText"/>
    <w:rsid w:val="004813A9"/>
    <w:pPr>
      <w:numPr>
        <w:ilvl w:val="6"/>
      </w:numPr>
    </w:pPr>
  </w:style>
  <w:style w:type="paragraph" w:customStyle="1" w:styleId="DocTextL7">
    <w:name w:val="DocTextL7"/>
    <w:basedOn w:val="DocText"/>
    <w:rsid w:val="004813A9"/>
    <w:pPr>
      <w:numPr>
        <w:ilvl w:val="7"/>
      </w:numPr>
    </w:pPr>
  </w:style>
  <w:style w:type="paragraph" w:customStyle="1" w:styleId="DocTextL8">
    <w:name w:val="DocTextL8"/>
    <w:basedOn w:val="DocText"/>
    <w:rsid w:val="004813A9"/>
    <w:pPr>
      <w:numPr>
        <w:ilvl w:val="8"/>
      </w:numPr>
    </w:pPr>
  </w:style>
  <w:style w:type="paragraph" w:customStyle="1" w:styleId="ClientNormal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npsmoodstavce"/>
    <w:rsid w:val="002F14C3"/>
  </w:style>
  <w:style w:type="character" w:customStyle="1" w:styleId="contentpasted2">
    <w:name w:val="contentpasted2"/>
    <w:basedOn w:val="Standardnpsmoodstavce"/>
    <w:rsid w:val="002F14C3"/>
  </w:style>
  <w:style w:type="table" w:styleId="Tabulkasmkou3zvraznn4">
    <w:name w:val="Grid Table 3 Accent 4"/>
    <w:basedOn w:val="Normlntabulka"/>
    <w:uiPriority w:val="48"/>
    <w:rsid w:val="0094582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ulkasmkou3">
    <w:name w:val="Grid Table 3"/>
    <w:basedOn w:val="Normlntabulka"/>
    <w:uiPriority w:val="48"/>
    <w:rsid w:val="0094582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2zvraznn3">
    <w:name w:val="Grid Table 2 Accent 3"/>
    <w:basedOn w:val="Normlntabulka"/>
    <w:uiPriority w:val="47"/>
    <w:rsid w:val="0094582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Prosttabulka2">
    <w:name w:val="Plain Table 2"/>
    <w:basedOn w:val="Normlntabulka"/>
    <w:uiPriority w:val="42"/>
    <w:rsid w:val="009458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94582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94582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lnweb">
    <w:name w:val="Normal (Web)"/>
    <w:basedOn w:val="Normln"/>
    <w:uiPriority w:val="99"/>
    <w:semiHidden/>
    <w:unhideWhenUsed/>
    <w:rsid w:val="004B7F1E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0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8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drej.cincura\Downloads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8" ma:contentTypeDescription="Create a new document." ma:contentTypeScope="" ma:versionID="dbde3e4b456547e6f328507b79f90d63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7d2ae0252bf75f21fd914bba1f614af1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49E673-C90B-4F19-AC5F-775EEBFC7C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15</TotalTime>
  <Pages>4</Pages>
  <Words>1335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Eva SVOBODOVÁ</cp:lastModifiedBy>
  <cp:revision>3</cp:revision>
  <dcterms:created xsi:type="dcterms:W3CDTF">2025-09-17T08:21:00Z</dcterms:created>
  <dcterms:modified xsi:type="dcterms:W3CDTF">2025-09-17T08:33:00Z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  <property fmtid="{D5CDD505-2E9C-101B-9397-08002B2CF9AE}" pid="3" name="MediaServiceImageTags">
    <vt:lpwstr/>
  </property>
  <property fmtid="{D5CDD505-2E9C-101B-9397-08002B2CF9AE}" pid="4" name="docLang">
    <vt:lpwstr>cs</vt:lpwstr>
  </property>
</Properties>
</file>