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8EAF7" w14:textId="75DBF505" w:rsidR="004813A9" w:rsidRDefault="0015069F" w:rsidP="004813A9">
      <w:pPr>
        <w:spacing w:before="120" w:line="276" w:lineRule="auto"/>
        <w:jc w:val="right"/>
        <w:rPr>
          <w:rFonts w:cs="Calibri"/>
          <w:b/>
          <w:bCs/>
          <w:caps/>
          <w:sz w:val="22"/>
          <w:szCs w:val="22"/>
        </w:rPr>
      </w:pPr>
      <w:r>
        <w:rPr>
          <w:rFonts w:cs="Calibri"/>
          <w:b/>
          <w:bCs/>
          <w:caps/>
          <w:sz w:val="22"/>
          <w:szCs w:val="22"/>
        </w:rPr>
        <w:t>TISKOVÁ ZPRÁVA</w:t>
      </w:r>
    </w:p>
    <w:p w14:paraId="3602FFD2" w14:textId="77777777" w:rsidR="00770B17" w:rsidRPr="00D469AD" w:rsidRDefault="00770B17" w:rsidP="004813A9">
      <w:pPr>
        <w:spacing w:before="120" w:line="276" w:lineRule="auto"/>
        <w:jc w:val="right"/>
        <w:rPr>
          <w:rFonts w:cs="Calibri"/>
          <w:b/>
          <w:bCs/>
          <w:caps/>
          <w:sz w:val="22"/>
          <w:szCs w:val="22"/>
        </w:rPr>
      </w:pPr>
    </w:p>
    <w:p w14:paraId="4842956B" w14:textId="383A9031" w:rsidR="003D1E6D" w:rsidRPr="00B66E62" w:rsidRDefault="003D1E6D" w:rsidP="00B66E62">
      <w:pPr>
        <w:jc w:val="center"/>
      </w:pPr>
      <w:r w:rsidRPr="003D1E6D">
        <w:rPr>
          <w:rFonts w:cs="Arial"/>
          <w:b/>
          <w:bCs/>
          <w:kern w:val="28"/>
          <w:sz w:val="32"/>
          <w:szCs w:val="32"/>
        </w:rPr>
        <w:t>Colt CZ Group zvýšila upravenou EBITDA o 72</w:t>
      </w:r>
      <w:r w:rsidR="00024A8F">
        <w:rPr>
          <w:rFonts w:cs="Arial"/>
          <w:b/>
          <w:bCs/>
          <w:kern w:val="28"/>
          <w:sz w:val="32"/>
          <w:szCs w:val="32"/>
        </w:rPr>
        <w:t>,1</w:t>
      </w:r>
      <w:r w:rsidRPr="003D1E6D">
        <w:rPr>
          <w:rFonts w:cs="Arial"/>
          <w:b/>
          <w:bCs/>
          <w:kern w:val="28"/>
          <w:sz w:val="32"/>
          <w:szCs w:val="32"/>
        </w:rPr>
        <w:t xml:space="preserve"> % na 2,1 miliardy Kč v prvním čtvrtletí 2026</w:t>
      </w:r>
    </w:p>
    <w:p w14:paraId="6DE6654E" w14:textId="77777777" w:rsidR="00770B17" w:rsidRDefault="00770B17" w:rsidP="002172AB">
      <w:pPr>
        <w:spacing w:before="120"/>
        <w:rPr>
          <w:rFonts w:cs="Calibri"/>
          <w:color w:val="000000" w:themeColor="text1"/>
          <w:szCs w:val="20"/>
        </w:rPr>
      </w:pPr>
    </w:p>
    <w:p w14:paraId="0F9F718F" w14:textId="77777777" w:rsidR="008318F7" w:rsidRPr="00027958" w:rsidRDefault="008318F7" w:rsidP="002172AB">
      <w:pPr>
        <w:spacing w:before="120"/>
        <w:rPr>
          <w:rFonts w:cs="Calibri"/>
          <w:color w:val="000000" w:themeColor="text1"/>
          <w:szCs w:val="20"/>
        </w:rPr>
      </w:pPr>
    </w:p>
    <w:p w14:paraId="0657F99A" w14:textId="6323BEBB" w:rsidR="004813A9" w:rsidRPr="00027958" w:rsidRDefault="004813A9" w:rsidP="008318F7">
      <w:pPr>
        <w:autoSpaceDE w:val="0"/>
        <w:autoSpaceDN w:val="0"/>
        <w:adjustRightInd w:val="0"/>
        <w:spacing w:before="120" w:line="276" w:lineRule="auto"/>
        <w:rPr>
          <w:rFonts w:cs="Calibri"/>
          <w:color w:val="000000" w:themeColor="text1"/>
        </w:rPr>
      </w:pPr>
      <w:r w:rsidRPr="5FAC94B9">
        <w:rPr>
          <w:rFonts w:cs="Calibri"/>
          <w:b/>
          <w:bCs/>
          <w:color w:val="000000" w:themeColor="text1"/>
        </w:rPr>
        <w:t>Praha (</w:t>
      </w:r>
      <w:r w:rsidR="00C23B7B" w:rsidRPr="5FAC94B9">
        <w:rPr>
          <w:rFonts w:cs="Calibri"/>
          <w:b/>
          <w:bCs/>
          <w:color w:val="000000" w:themeColor="text1"/>
        </w:rPr>
        <w:t>21</w:t>
      </w:r>
      <w:r w:rsidRPr="5FAC94B9">
        <w:rPr>
          <w:rFonts w:cs="Calibri"/>
          <w:b/>
          <w:bCs/>
          <w:color w:val="000000" w:themeColor="text1"/>
        </w:rPr>
        <w:t xml:space="preserve">. </w:t>
      </w:r>
      <w:r w:rsidR="00CB3B8D" w:rsidRPr="5FAC94B9">
        <w:rPr>
          <w:rFonts w:cs="Calibri"/>
          <w:b/>
          <w:bCs/>
          <w:color w:val="000000" w:themeColor="text1"/>
        </w:rPr>
        <w:t>května</w:t>
      </w:r>
      <w:r w:rsidRPr="5FAC94B9">
        <w:rPr>
          <w:rFonts w:cs="Calibri"/>
          <w:b/>
          <w:bCs/>
          <w:color w:val="000000" w:themeColor="text1"/>
        </w:rPr>
        <w:t xml:space="preserve"> 202</w:t>
      </w:r>
      <w:r w:rsidR="00C23B7B" w:rsidRPr="5FAC94B9">
        <w:rPr>
          <w:rFonts w:cs="Calibri"/>
          <w:b/>
          <w:bCs/>
          <w:color w:val="000000" w:themeColor="text1"/>
        </w:rPr>
        <w:t>6</w:t>
      </w:r>
      <w:r w:rsidRPr="5FAC94B9">
        <w:rPr>
          <w:rFonts w:cs="Calibri"/>
          <w:b/>
          <w:bCs/>
          <w:color w:val="000000" w:themeColor="text1"/>
        </w:rPr>
        <w:t>)</w:t>
      </w:r>
      <w:r w:rsidRPr="5FAC94B9">
        <w:rPr>
          <w:rFonts w:cs="Calibri"/>
          <w:color w:val="000000" w:themeColor="text1"/>
        </w:rPr>
        <w:t xml:space="preserve"> ― </w:t>
      </w:r>
      <w:r w:rsidR="0083274B" w:rsidRPr="5FAC94B9">
        <w:rPr>
          <w:rFonts w:cs="Calibri"/>
          <w:color w:val="000000" w:themeColor="text1"/>
        </w:rPr>
        <w:t xml:space="preserve">Společnost </w:t>
      </w:r>
      <w:r w:rsidR="00E43B44" w:rsidRPr="5FAC94B9">
        <w:rPr>
          <w:rFonts w:cs="Calibri"/>
          <w:color w:val="000000" w:themeColor="text1"/>
        </w:rPr>
        <w:t xml:space="preserve">Colt CZ </w:t>
      </w:r>
      <w:r w:rsidRPr="5FAC94B9">
        <w:rPr>
          <w:rFonts w:cs="Calibri"/>
          <w:color w:val="000000" w:themeColor="text1"/>
        </w:rPr>
        <w:t>Group SE („</w:t>
      </w:r>
      <w:r w:rsidR="00E43B44" w:rsidRPr="5FAC94B9">
        <w:rPr>
          <w:rFonts w:cs="Calibri"/>
          <w:color w:val="000000" w:themeColor="text1"/>
        </w:rPr>
        <w:t>Colt CZ</w:t>
      </w:r>
      <w:r w:rsidR="00181A0B" w:rsidRPr="5FAC94B9">
        <w:rPr>
          <w:rFonts w:cs="Calibri"/>
          <w:color w:val="000000" w:themeColor="text1"/>
        </w:rPr>
        <w:t>“</w:t>
      </w:r>
      <w:r w:rsidRPr="5FAC94B9">
        <w:rPr>
          <w:rFonts w:cs="Calibri"/>
          <w:color w:val="000000" w:themeColor="text1"/>
        </w:rPr>
        <w:t xml:space="preserve">, „Skupina“ nebo </w:t>
      </w:r>
      <w:r w:rsidR="00181A0B" w:rsidRPr="5FAC94B9">
        <w:rPr>
          <w:rFonts w:cs="Calibri"/>
          <w:color w:val="000000" w:themeColor="text1"/>
        </w:rPr>
        <w:t>„</w:t>
      </w:r>
      <w:r w:rsidRPr="5FAC94B9">
        <w:rPr>
          <w:rFonts w:cs="Calibri"/>
          <w:color w:val="000000" w:themeColor="text1"/>
        </w:rPr>
        <w:t>Společnost</w:t>
      </w:r>
      <w:r w:rsidR="00181A0B" w:rsidRPr="5FAC94B9">
        <w:rPr>
          <w:rFonts w:cs="Calibri"/>
          <w:color w:val="000000" w:themeColor="text1"/>
        </w:rPr>
        <w:t>“</w:t>
      </w:r>
      <w:r w:rsidRPr="5FAC94B9">
        <w:rPr>
          <w:rFonts w:cs="Calibri"/>
          <w:color w:val="000000" w:themeColor="text1"/>
        </w:rPr>
        <w:t>) dnes zveřejnil</w:t>
      </w:r>
      <w:r w:rsidR="0083274B" w:rsidRPr="5FAC94B9">
        <w:rPr>
          <w:rFonts w:cs="Calibri"/>
          <w:color w:val="000000" w:themeColor="text1"/>
        </w:rPr>
        <w:t>a</w:t>
      </w:r>
      <w:r w:rsidRPr="5FAC94B9">
        <w:rPr>
          <w:rFonts w:cs="Calibri"/>
          <w:color w:val="000000" w:themeColor="text1"/>
        </w:rPr>
        <w:t xml:space="preserve"> své </w:t>
      </w:r>
      <w:r w:rsidR="001B0F22" w:rsidRPr="5FAC94B9">
        <w:rPr>
          <w:rFonts w:cs="Calibri"/>
          <w:color w:val="000000" w:themeColor="text1"/>
        </w:rPr>
        <w:t xml:space="preserve">konsolidované neauditované </w:t>
      </w:r>
      <w:r w:rsidRPr="5FAC94B9">
        <w:rPr>
          <w:rFonts w:cs="Calibri"/>
          <w:color w:val="000000" w:themeColor="text1"/>
        </w:rPr>
        <w:t xml:space="preserve">finanční výsledky </w:t>
      </w:r>
      <w:r w:rsidR="001B0F22" w:rsidRPr="5FAC94B9">
        <w:rPr>
          <w:rFonts w:cs="Calibri"/>
          <w:color w:val="000000" w:themeColor="text1"/>
        </w:rPr>
        <w:t>za první tři měsíce roku 202</w:t>
      </w:r>
      <w:r w:rsidR="00C23B7B" w:rsidRPr="5FAC94B9">
        <w:rPr>
          <w:rFonts w:cs="Calibri"/>
          <w:color w:val="000000" w:themeColor="text1"/>
        </w:rPr>
        <w:t>6</w:t>
      </w:r>
      <w:r w:rsidR="001B0F22" w:rsidRPr="5FAC94B9">
        <w:rPr>
          <w:rFonts w:cs="Calibri"/>
          <w:color w:val="000000" w:themeColor="text1"/>
        </w:rPr>
        <w:t xml:space="preserve"> končící 31. březnem</w:t>
      </w:r>
      <w:r w:rsidRPr="5FAC94B9">
        <w:rPr>
          <w:rFonts w:cs="Calibri"/>
          <w:color w:val="000000" w:themeColor="text1"/>
        </w:rPr>
        <w:t>.</w:t>
      </w:r>
    </w:p>
    <w:p w14:paraId="7CCFBE6B" w14:textId="469818B3" w:rsidR="004813A9" w:rsidRPr="00027958" w:rsidRDefault="007E510B" w:rsidP="008318F7">
      <w:pPr>
        <w:spacing w:before="240" w:line="276" w:lineRule="auto"/>
        <w:rPr>
          <w:rFonts w:cs="Calibri"/>
          <w:b/>
          <w:bCs/>
        </w:rPr>
      </w:pPr>
      <w:r w:rsidRPr="5FAC94B9">
        <w:rPr>
          <w:rFonts w:cs="Calibri"/>
          <w:b/>
          <w:bCs/>
        </w:rPr>
        <w:t>Klíčové finanční údaje za první čtvrtletí roku 202</w:t>
      </w:r>
      <w:r w:rsidR="00C744E1" w:rsidRPr="5FAC94B9">
        <w:rPr>
          <w:rFonts w:cs="Calibri"/>
          <w:b/>
          <w:bCs/>
        </w:rPr>
        <w:t>6</w:t>
      </w:r>
      <w:r w:rsidR="004813A9" w:rsidRPr="5FAC94B9">
        <w:rPr>
          <w:rFonts w:cs="Calibri"/>
          <w:b/>
          <w:bCs/>
        </w:rPr>
        <w:t>:</w:t>
      </w:r>
    </w:p>
    <w:p w14:paraId="2C1642C3" w14:textId="3867175A" w:rsidR="00054E3A" w:rsidRPr="00027958" w:rsidRDefault="004813A9" w:rsidP="008318F7">
      <w:pPr>
        <w:pStyle w:val="Odrazka1"/>
        <w:spacing w:line="276" w:lineRule="auto"/>
        <w:ind w:left="993" w:hanging="426"/>
        <w:rPr>
          <w:rFonts w:eastAsia="Montserrat Light"/>
        </w:rPr>
      </w:pPr>
      <w:r w:rsidRPr="00027958">
        <w:rPr>
          <w:rFonts w:eastAsia="Montserrat Light"/>
        </w:rPr>
        <w:t xml:space="preserve">Výnosy Skupiny </w:t>
      </w:r>
      <w:r w:rsidR="007E510B" w:rsidRPr="00027958">
        <w:rPr>
          <w:rFonts w:eastAsia="Montserrat Light"/>
        </w:rPr>
        <w:t>za první tři měsíce roku 202</w:t>
      </w:r>
      <w:r w:rsidR="00C744E1" w:rsidRPr="00027958">
        <w:rPr>
          <w:rFonts w:eastAsia="Montserrat Light"/>
        </w:rPr>
        <w:t>6</w:t>
      </w:r>
      <w:r w:rsidR="007E510B" w:rsidRPr="00027958">
        <w:rPr>
          <w:rFonts w:eastAsia="Montserrat Light"/>
        </w:rPr>
        <w:t xml:space="preserve"> </w:t>
      </w:r>
      <w:r w:rsidRPr="00027958">
        <w:rPr>
          <w:rFonts w:eastAsia="Montserrat Light"/>
        </w:rPr>
        <w:t xml:space="preserve">dosáhly </w:t>
      </w:r>
      <w:r w:rsidR="00DF3AF9" w:rsidRPr="00027958">
        <w:rPr>
          <w:rFonts w:eastAsia="Montserrat Light"/>
        </w:rPr>
        <w:t>7,3</w:t>
      </w:r>
      <w:r w:rsidR="00002F73" w:rsidRPr="00027958">
        <w:rPr>
          <w:rFonts w:eastAsia="Montserrat Light"/>
        </w:rPr>
        <w:t xml:space="preserve"> </w:t>
      </w:r>
      <w:r w:rsidR="00E7001E" w:rsidRPr="00027958">
        <w:rPr>
          <w:w w:val="0"/>
        </w:rPr>
        <w:t>m</w:t>
      </w:r>
      <w:r w:rsidR="00B50AC3">
        <w:t>ld</w:t>
      </w:r>
      <w:r>
        <w:t>. Kč</w:t>
      </w:r>
      <w:r w:rsidR="0083274B">
        <w:t xml:space="preserve">, </w:t>
      </w:r>
      <w:r w:rsidR="003461FE">
        <w:t xml:space="preserve">meziročně o </w:t>
      </w:r>
      <w:r w:rsidR="00DF3AF9">
        <w:t>32,7</w:t>
      </w:r>
      <w:r w:rsidR="00181A0B">
        <w:t xml:space="preserve"> </w:t>
      </w:r>
      <w:r w:rsidR="003461FE">
        <w:t>% více</w:t>
      </w:r>
      <w:r w:rsidR="00C744E1">
        <w:t xml:space="preserve">. </w:t>
      </w:r>
      <w:r w:rsidR="00FF023F">
        <w:t xml:space="preserve">Tento výsledek </w:t>
      </w:r>
      <w:r w:rsidR="00870E92">
        <w:t xml:space="preserve">je kombinací organického růstu </w:t>
      </w:r>
      <w:r w:rsidR="00766416">
        <w:t>a konsolidac</w:t>
      </w:r>
      <w:r w:rsidR="008E582B">
        <w:t>e</w:t>
      </w:r>
      <w:r w:rsidR="00766416">
        <w:t xml:space="preserve"> nového segmentu </w:t>
      </w:r>
      <w:r w:rsidR="00645127">
        <w:t>e</w:t>
      </w:r>
      <w:r w:rsidR="00766416">
        <w:t>nergetických materiálů po akvizici společností Synthesia Nitrocellulose a Synthesia Power.</w:t>
      </w:r>
    </w:p>
    <w:p w14:paraId="641AA03C" w14:textId="528D7C11" w:rsidR="004813A9" w:rsidRPr="00027958" w:rsidRDefault="00426A14" w:rsidP="008318F7">
      <w:pPr>
        <w:pStyle w:val="Odrazka1"/>
        <w:spacing w:line="276" w:lineRule="auto"/>
        <w:ind w:left="993" w:hanging="426"/>
        <w:rPr>
          <w:rFonts w:eastAsia="Montserrat Light"/>
        </w:rPr>
      </w:pPr>
      <w:r w:rsidRPr="00027958">
        <w:rPr>
          <w:rFonts w:eastAsia="Montserrat Light"/>
        </w:rPr>
        <w:t>Upravená EBITDA</w:t>
      </w:r>
      <w:r w:rsidR="00266D06" w:rsidRPr="00027958">
        <w:rPr>
          <w:rFonts w:eastAsia="Montserrat Light"/>
          <w:vertAlign w:val="superscript"/>
        </w:rPr>
        <w:footnoteReference w:id="2"/>
      </w:r>
      <w:r w:rsidRPr="00027958">
        <w:rPr>
          <w:rFonts w:eastAsia="Montserrat Light"/>
        </w:rPr>
        <w:t xml:space="preserve"> očištěná o </w:t>
      </w:r>
      <w:r w:rsidR="00D413A7" w:rsidRPr="00027958">
        <w:rPr>
          <w:rFonts w:eastAsia="Montserrat Light"/>
        </w:rPr>
        <w:t xml:space="preserve">mimořádné </w:t>
      </w:r>
      <w:r w:rsidRPr="00027958">
        <w:rPr>
          <w:rFonts w:eastAsia="Montserrat Light"/>
        </w:rPr>
        <w:t xml:space="preserve">položky dosáhla výše </w:t>
      </w:r>
      <w:r w:rsidR="00DF3AF9" w:rsidRPr="00027958">
        <w:t>2,1</w:t>
      </w:r>
      <w:r w:rsidR="00002F73" w:rsidRPr="00027958">
        <w:t xml:space="preserve"> </w:t>
      </w:r>
      <w:r w:rsidRPr="00027958">
        <w:rPr>
          <w:rFonts w:eastAsia="Montserrat Light"/>
        </w:rPr>
        <w:t>m</w:t>
      </w:r>
      <w:r w:rsidR="18598709" w:rsidRPr="5E2D0FF9">
        <w:rPr>
          <w:rFonts w:eastAsia="Montserrat Light"/>
        </w:rPr>
        <w:t>ld</w:t>
      </w:r>
      <w:r w:rsidRPr="5E2D0FF9">
        <w:rPr>
          <w:rFonts w:eastAsia="Montserrat Light"/>
        </w:rPr>
        <w:t>.</w:t>
      </w:r>
      <w:r w:rsidRPr="00027958">
        <w:rPr>
          <w:rFonts w:eastAsia="Montserrat Light"/>
        </w:rPr>
        <w:t xml:space="preserve"> Kč, což je o </w:t>
      </w:r>
      <w:r w:rsidR="00DF3AF9" w:rsidRPr="00027958">
        <w:rPr>
          <w:rFonts w:eastAsia="Montserrat Light"/>
        </w:rPr>
        <w:t>72,1</w:t>
      </w:r>
      <w:r w:rsidRPr="00027958">
        <w:rPr>
          <w:rFonts w:eastAsia="Montserrat Light"/>
        </w:rPr>
        <w:t xml:space="preserve"> % </w:t>
      </w:r>
      <w:r w:rsidR="00054E3A" w:rsidRPr="00027958">
        <w:rPr>
          <w:rFonts w:eastAsia="Montserrat Light"/>
        </w:rPr>
        <w:t>více</w:t>
      </w:r>
      <w:r w:rsidRPr="00027958">
        <w:rPr>
          <w:rFonts w:eastAsia="Montserrat Light"/>
        </w:rPr>
        <w:t xml:space="preserve"> než </w:t>
      </w:r>
      <w:r w:rsidR="00002F73" w:rsidRPr="00027958">
        <w:rPr>
          <w:rFonts w:eastAsia="Montserrat Light"/>
        </w:rPr>
        <w:t xml:space="preserve">ve stejném období </w:t>
      </w:r>
      <w:r w:rsidRPr="00027958">
        <w:rPr>
          <w:rFonts w:eastAsia="Montserrat Light"/>
        </w:rPr>
        <w:t>v roce 202</w:t>
      </w:r>
      <w:r w:rsidR="00C744E1" w:rsidRPr="00027958">
        <w:rPr>
          <w:rFonts w:eastAsia="Montserrat Light"/>
        </w:rPr>
        <w:t xml:space="preserve">5. </w:t>
      </w:r>
      <w:r w:rsidR="00266D06" w:rsidRPr="00027958">
        <w:rPr>
          <w:rFonts w:eastAsia="Montserrat Light"/>
        </w:rPr>
        <w:t xml:space="preserve">Nárůst souvisí </w:t>
      </w:r>
      <w:r w:rsidR="001A5C85">
        <w:rPr>
          <w:rFonts w:eastAsia="Montserrat Light"/>
        </w:rPr>
        <w:t xml:space="preserve">se silnou ziskovostí </w:t>
      </w:r>
      <w:r w:rsidR="00645127" w:rsidRPr="00027958">
        <w:rPr>
          <w:rFonts w:eastAsia="Montserrat Light"/>
        </w:rPr>
        <w:t xml:space="preserve">především </w:t>
      </w:r>
      <w:r w:rsidR="00002F73" w:rsidRPr="00027958">
        <w:rPr>
          <w:rFonts w:eastAsia="Montserrat Light"/>
        </w:rPr>
        <w:t>v segment</w:t>
      </w:r>
      <w:r w:rsidR="001A5C85">
        <w:rPr>
          <w:rFonts w:eastAsia="Montserrat Light"/>
        </w:rPr>
        <w:t>ech</w:t>
      </w:r>
      <w:r w:rsidR="00002F73" w:rsidRPr="00027958">
        <w:rPr>
          <w:rFonts w:eastAsia="Montserrat Light"/>
        </w:rPr>
        <w:t xml:space="preserve"> </w:t>
      </w:r>
      <w:r w:rsidR="00371A4F" w:rsidRPr="00027958">
        <w:rPr>
          <w:rFonts w:eastAsia="Montserrat Light"/>
        </w:rPr>
        <w:t xml:space="preserve">munice </w:t>
      </w:r>
      <w:r w:rsidR="00645127" w:rsidRPr="00027958">
        <w:rPr>
          <w:rFonts w:eastAsia="Montserrat Light"/>
        </w:rPr>
        <w:t>a energetických materiálů.</w:t>
      </w:r>
    </w:p>
    <w:p w14:paraId="5B4C6618" w14:textId="039B8619" w:rsidR="009D02E6" w:rsidRPr="00027958" w:rsidRDefault="009D02E6" w:rsidP="008318F7">
      <w:pPr>
        <w:pStyle w:val="Odrazka1"/>
        <w:spacing w:line="276" w:lineRule="auto"/>
        <w:ind w:left="993" w:hanging="426"/>
        <w:rPr>
          <w:rFonts w:eastAsia="Montserrat Light"/>
        </w:rPr>
      </w:pPr>
      <w:bookmarkStart w:id="0" w:name="_Hlk98740338"/>
      <w:r w:rsidRPr="5FAC94B9">
        <w:rPr>
          <w:rFonts w:eastAsia="Montserrat Light"/>
        </w:rPr>
        <w:t>Upravený čistý zisk</w:t>
      </w:r>
      <w:r w:rsidR="0057086F" w:rsidRPr="5FAC94B9">
        <w:rPr>
          <w:rFonts w:eastAsia="Montserrat Light"/>
          <w:vertAlign w:val="superscript"/>
        </w:rPr>
        <w:t>1</w:t>
      </w:r>
      <w:r w:rsidRPr="5FAC94B9">
        <w:rPr>
          <w:rFonts w:eastAsia="Montserrat Light"/>
        </w:rPr>
        <w:t xml:space="preserve"> po zdanění dosáhl </w:t>
      </w:r>
      <w:r w:rsidR="005225E8" w:rsidRPr="5FAC94B9">
        <w:rPr>
          <w:rFonts w:eastAsia="Montserrat Light"/>
        </w:rPr>
        <w:t xml:space="preserve">za první </w:t>
      </w:r>
      <w:r w:rsidR="00E22FE0" w:rsidRPr="5FAC94B9">
        <w:rPr>
          <w:rFonts w:eastAsia="Montserrat Light"/>
        </w:rPr>
        <w:t>čtvrtletí</w:t>
      </w:r>
      <w:r w:rsidR="005225E8" w:rsidRPr="5FAC94B9">
        <w:rPr>
          <w:rFonts w:eastAsia="Montserrat Light"/>
        </w:rPr>
        <w:t xml:space="preserve"> roku 202</w:t>
      </w:r>
      <w:r w:rsidR="00C744E1" w:rsidRPr="5FAC94B9">
        <w:rPr>
          <w:rFonts w:eastAsia="Montserrat Light"/>
        </w:rPr>
        <w:t>6</w:t>
      </w:r>
      <w:r w:rsidR="005225E8" w:rsidRPr="5FAC94B9">
        <w:rPr>
          <w:rFonts w:eastAsia="Montserrat Light"/>
        </w:rPr>
        <w:t xml:space="preserve"> </w:t>
      </w:r>
      <w:r w:rsidRPr="5FAC94B9">
        <w:rPr>
          <w:rFonts w:eastAsia="Montserrat Light"/>
        </w:rPr>
        <w:t xml:space="preserve">celkem </w:t>
      </w:r>
      <w:r w:rsidR="00DF3AF9" w:rsidRPr="5FAC94B9">
        <w:rPr>
          <w:rFonts w:eastAsia="Montserrat Light"/>
        </w:rPr>
        <w:t>950,6</w:t>
      </w:r>
      <w:r w:rsidR="008132E8" w:rsidRPr="5FAC94B9">
        <w:rPr>
          <w:rFonts w:eastAsia="Montserrat Light"/>
        </w:rPr>
        <w:t xml:space="preserve"> </w:t>
      </w:r>
      <w:r w:rsidR="000A248B" w:rsidRPr="5FAC94B9">
        <w:rPr>
          <w:rFonts w:eastAsia="Montserrat Light"/>
        </w:rPr>
        <w:t>m</w:t>
      </w:r>
      <w:r w:rsidR="000A248B">
        <w:rPr>
          <w:rFonts w:eastAsia="Montserrat Light"/>
        </w:rPr>
        <w:t>il</w:t>
      </w:r>
      <w:r w:rsidRPr="5FAC94B9">
        <w:rPr>
          <w:rFonts w:eastAsia="Montserrat Light"/>
        </w:rPr>
        <w:t>. Kč, což je o</w:t>
      </w:r>
      <w:r w:rsidR="005225E8" w:rsidRPr="5FAC94B9">
        <w:rPr>
          <w:rFonts w:eastAsia="Montserrat Light"/>
        </w:rPr>
        <w:t xml:space="preserve"> </w:t>
      </w:r>
      <w:r w:rsidR="00DF3AF9" w:rsidRPr="5FAC94B9">
        <w:rPr>
          <w:rFonts w:eastAsia="Montserrat Light"/>
        </w:rPr>
        <w:t>73,9</w:t>
      </w:r>
      <w:r w:rsidRPr="5FAC94B9">
        <w:rPr>
          <w:rFonts w:eastAsia="Montserrat Light"/>
        </w:rPr>
        <w:t xml:space="preserve"> % </w:t>
      </w:r>
      <w:r w:rsidR="005225E8" w:rsidRPr="5FAC94B9">
        <w:rPr>
          <w:rFonts w:eastAsia="Montserrat Light"/>
        </w:rPr>
        <w:t>více</w:t>
      </w:r>
      <w:r w:rsidRPr="5FAC94B9">
        <w:rPr>
          <w:rFonts w:eastAsia="Montserrat Light"/>
        </w:rPr>
        <w:t xml:space="preserve"> než v</w:t>
      </w:r>
      <w:r w:rsidR="005225E8" w:rsidRPr="5FAC94B9">
        <w:rPr>
          <w:rFonts w:eastAsia="Montserrat Light"/>
        </w:rPr>
        <w:t>e stejném období v</w:t>
      </w:r>
      <w:r w:rsidRPr="5FAC94B9">
        <w:rPr>
          <w:rFonts w:eastAsia="Montserrat Light"/>
        </w:rPr>
        <w:t> roce 202</w:t>
      </w:r>
      <w:r w:rsidR="00C744E1" w:rsidRPr="5FAC94B9">
        <w:rPr>
          <w:rFonts w:eastAsia="Montserrat Light"/>
        </w:rPr>
        <w:t>5</w:t>
      </w:r>
      <w:r w:rsidR="00FE6B6D" w:rsidRPr="5FAC94B9">
        <w:rPr>
          <w:rFonts w:eastAsia="Montserrat Light"/>
        </w:rPr>
        <w:t>.</w:t>
      </w:r>
      <w:r w:rsidR="00266D06" w:rsidRPr="5FAC94B9">
        <w:rPr>
          <w:rFonts w:eastAsia="Montserrat Light"/>
        </w:rPr>
        <w:t xml:space="preserve"> </w:t>
      </w:r>
      <w:bookmarkStart w:id="1" w:name="_Hlk198740820"/>
    </w:p>
    <w:p w14:paraId="57D46386" w14:textId="3BC0942F" w:rsidR="0083274B" w:rsidRPr="00871CC7" w:rsidRDefault="00CD05D7" w:rsidP="008318F7">
      <w:pPr>
        <w:autoSpaceDE w:val="0"/>
        <w:autoSpaceDN w:val="0"/>
        <w:adjustRightInd w:val="0"/>
        <w:spacing w:before="240" w:line="276" w:lineRule="auto"/>
        <w:rPr>
          <w:rFonts w:cs="Calibri"/>
        </w:rPr>
      </w:pPr>
      <w:bookmarkStart w:id="2" w:name="_Hlk198742184"/>
      <w:bookmarkEnd w:id="0"/>
      <w:bookmarkEnd w:id="1"/>
      <w:r w:rsidRPr="5FAC94B9">
        <w:rPr>
          <w:rFonts w:cs="Calibri"/>
          <w:i/>
          <w:iCs/>
        </w:rPr>
        <w:t>„</w:t>
      </w:r>
      <w:bookmarkEnd w:id="2"/>
      <w:r w:rsidR="00871CC7" w:rsidRPr="5FAC94B9">
        <w:rPr>
          <w:rFonts w:cs="Calibri"/>
          <w:i/>
          <w:iCs/>
        </w:rPr>
        <w:t xml:space="preserve">První čtvrtletí roku 2026 potvrdilo sílu našeho </w:t>
      </w:r>
      <w:r w:rsidR="00E9224B" w:rsidRPr="5FAC94B9">
        <w:rPr>
          <w:rFonts w:cs="Calibri"/>
          <w:i/>
          <w:iCs/>
        </w:rPr>
        <w:t>diverzifikovaného obchodního modelu</w:t>
      </w:r>
      <w:r w:rsidR="00230218" w:rsidRPr="5FAC94B9">
        <w:rPr>
          <w:rFonts w:cs="Calibri"/>
          <w:i/>
          <w:iCs/>
        </w:rPr>
        <w:t xml:space="preserve"> a správnost strategického směřování Skupiny</w:t>
      </w:r>
      <w:r w:rsidR="00871CC7" w:rsidRPr="5FAC94B9">
        <w:rPr>
          <w:rFonts w:cs="Calibri"/>
          <w:i/>
          <w:iCs/>
        </w:rPr>
        <w:t xml:space="preserve">. Dosáhli jsme historicky nejlepších výsledků za první kvartál, a to jak z pohledu výnosů, tak ziskovosti. </w:t>
      </w:r>
      <w:r w:rsidR="00441A32" w:rsidRPr="5FAC94B9">
        <w:rPr>
          <w:rFonts w:cs="Calibri"/>
          <w:i/>
          <w:iCs/>
        </w:rPr>
        <w:t xml:space="preserve">Vedle </w:t>
      </w:r>
      <w:r w:rsidR="008F51EA" w:rsidRPr="5FAC94B9">
        <w:rPr>
          <w:rFonts w:cs="Calibri"/>
          <w:i/>
          <w:iCs/>
        </w:rPr>
        <w:t>silného výkonu tradičních segmentů ručn</w:t>
      </w:r>
      <w:r w:rsidR="00930E26" w:rsidRPr="5FAC94B9">
        <w:rPr>
          <w:rFonts w:cs="Calibri"/>
          <w:i/>
          <w:iCs/>
        </w:rPr>
        <w:t>í</w:t>
      </w:r>
      <w:r w:rsidR="008F51EA" w:rsidRPr="5FAC94B9">
        <w:rPr>
          <w:rFonts w:cs="Calibri"/>
          <w:i/>
          <w:iCs/>
        </w:rPr>
        <w:t>ch palných zbraní a munice</w:t>
      </w:r>
      <w:r w:rsidR="00B71868" w:rsidRPr="5FAC94B9">
        <w:rPr>
          <w:rFonts w:cs="Calibri"/>
          <w:i/>
          <w:iCs/>
        </w:rPr>
        <w:t xml:space="preserve"> </w:t>
      </w:r>
      <w:r w:rsidR="00871CC7" w:rsidRPr="5FAC94B9">
        <w:rPr>
          <w:rFonts w:cs="Calibri"/>
          <w:i/>
          <w:iCs/>
        </w:rPr>
        <w:t>se do výsledků</w:t>
      </w:r>
      <w:r w:rsidR="00B71868" w:rsidRPr="5FAC94B9">
        <w:rPr>
          <w:rFonts w:cs="Calibri"/>
          <w:i/>
          <w:iCs/>
        </w:rPr>
        <w:t xml:space="preserve"> významně</w:t>
      </w:r>
      <w:r w:rsidR="00871CC7" w:rsidRPr="5FAC94B9">
        <w:rPr>
          <w:rFonts w:cs="Calibri"/>
          <w:i/>
          <w:iCs/>
        </w:rPr>
        <w:t xml:space="preserve"> promítl </w:t>
      </w:r>
      <w:r w:rsidR="00B71868" w:rsidRPr="5FAC94B9">
        <w:rPr>
          <w:rFonts w:cs="Calibri"/>
          <w:i/>
          <w:iCs/>
        </w:rPr>
        <w:t>také</w:t>
      </w:r>
      <w:r w:rsidR="00871CC7" w:rsidRPr="5FAC94B9">
        <w:rPr>
          <w:rFonts w:cs="Calibri"/>
          <w:i/>
          <w:iCs/>
        </w:rPr>
        <w:t xml:space="preserve"> nov</w:t>
      </w:r>
      <w:r w:rsidR="00930E26" w:rsidRPr="5FAC94B9">
        <w:rPr>
          <w:rFonts w:cs="Calibri"/>
          <w:i/>
          <w:iCs/>
        </w:rPr>
        <w:t>ý</w:t>
      </w:r>
      <w:r w:rsidR="00871CC7" w:rsidRPr="5FAC94B9">
        <w:rPr>
          <w:rFonts w:cs="Calibri"/>
          <w:i/>
          <w:iCs/>
        </w:rPr>
        <w:t xml:space="preserve"> segment energetických materiálů, </w:t>
      </w:r>
      <w:r w:rsidR="00C623C9" w:rsidRPr="5FAC94B9">
        <w:rPr>
          <w:rFonts w:cs="Calibri"/>
          <w:i/>
          <w:iCs/>
        </w:rPr>
        <w:t xml:space="preserve">který se tak stává jedním z klíčových pilířů </w:t>
      </w:r>
      <w:r w:rsidR="008F2375" w:rsidRPr="5FAC94B9">
        <w:rPr>
          <w:rFonts w:cs="Calibri"/>
          <w:i/>
          <w:iCs/>
        </w:rPr>
        <w:t>našeho budoucího růstu</w:t>
      </w:r>
      <w:r w:rsidR="00871CC7" w:rsidRPr="5FAC94B9">
        <w:rPr>
          <w:rFonts w:cs="Calibri"/>
          <w:i/>
          <w:iCs/>
        </w:rPr>
        <w:t xml:space="preserve">. Pro zbytek roku bude </w:t>
      </w:r>
      <w:r w:rsidR="002A6B39" w:rsidRPr="5FAC94B9">
        <w:rPr>
          <w:rFonts w:cs="Calibri"/>
          <w:i/>
          <w:iCs/>
        </w:rPr>
        <w:t>důležité</w:t>
      </w:r>
      <w:r w:rsidR="00871CC7" w:rsidRPr="5FAC94B9">
        <w:rPr>
          <w:rFonts w:cs="Calibri"/>
          <w:i/>
          <w:iCs/>
        </w:rPr>
        <w:t xml:space="preserve"> úspěšné uzavření strategických tendrů, pokračující důraz na provozní efektivitu a další posilování na evropských i mimoevropských trzích</w:t>
      </w:r>
      <w:r w:rsidR="00454738" w:rsidRPr="5FAC94B9">
        <w:rPr>
          <w:rFonts w:cs="Calibri"/>
          <w:i/>
          <w:iCs/>
        </w:rPr>
        <w:t>,“</w:t>
      </w:r>
      <w:r w:rsidRPr="5FAC94B9">
        <w:rPr>
          <w:rFonts w:cs="Calibri"/>
        </w:rPr>
        <w:t xml:space="preserve"> </w:t>
      </w:r>
      <w:r w:rsidR="008E6DD7" w:rsidRPr="5FAC94B9">
        <w:rPr>
          <w:rFonts w:cs="Calibri"/>
        </w:rPr>
        <w:t>uvedl</w:t>
      </w:r>
      <w:r w:rsidR="0083274B" w:rsidRPr="5FAC94B9">
        <w:rPr>
          <w:rFonts w:cs="Calibri"/>
        </w:rPr>
        <w:t xml:space="preserve"> </w:t>
      </w:r>
      <w:r w:rsidR="003625E4" w:rsidRPr="5FAC94B9">
        <w:rPr>
          <w:rFonts w:cs="Calibri"/>
          <w:b/>
          <w:bCs/>
        </w:rPr>
        <w:t>Radek Musil</w:t>
      </w:r>
      <w:r w:rsidR="0083274B" w:rsidRPr="5FAC94B9">
        <w:rPr>
          <w:rFonts w:cs="Calibri"/>
          <w:b/>
          <w:bCs/>
        </w:rPr>
        <w:t xml:space="preserve">, </w:t>
      </w:r>
      <w:r w:rsidR="003625E4" w:rsidRPr="5FAC94B9">
        <w:rPr>
          <w:rFonts w:cs="Calibri"/>
          <w:b/>
          <w:bCs/>
        </w:rPr>
        <w:t>generální ředitel</w:t>
      </w:r>
      <w:r w:rsidR="0083274B" w:rsidRPr="5FAC94B9">
        <w:rPr>
          <w:rFonts w:cs="Calibri"/>
          <w:b/>
          <w:bCs/>
        </w:rPr>
        <w:t xml:space="preserve"> Colt CZ Group</w:t>
      </w:r>
      <w:r w:rsidR="0083274B" w:rsidRPr="5FAC94B9">
        <w:rPr>
          <w:rFonts w:cs="Calibri"/>
        </w:rPr>
        <w:t>.</w:t>
      </w:r>
      <w:r w:rsidRPr="5FAC94B9">
        <w:rPr>
          <w:rFonts w:cs="Calibri"/>
        </w:rPr>
        <w:t xml:space="preserve"> </w:t>
      </w:r>
    </w:p>
    <w:p w14:paraId="5FBC8F0C" w14:textId="24605132" w:rsidR="00770B17" w:rsidRPr="00027958" w:rsidRDefault="0038606B" w:rsidP="008318F7">
      <w:pPr>
        <w:autoSpaceDE w:val="0"/>
        <w:autoSpaceDN w:val="0"/>
        <w:adjustRightInd w:val="0"/>
        <w:spacing w:before="240" w:line="276" w:lineRule="auto"/>
        <w:rPr>
          <w:rFonts w:cs="Calibri"/>
          <w:b/>
          <w:bCs/>
        </w:rPr>
      </w:pPr>
      <w:r w:rsidRPr="5FAC94B9">
        <w:rPr>
          <w:rFonts w:cs="Calibri"/>
          <w:i/>
          <w:iCs/>
        </w:rPr>
        <w:t>„</w:t>
      </w:r>
      <w:r w:rsidR="002365C0" w:rsidRPr="5FAC94B9">
        <w:rPr>
          <w:rFonts w:cs="Calibri"/>
          <w:i/>
          <w:iCs/>
        </w:rPr>
        <w:t>Rekordní výsledky současně přicházejí krátce po</w:t>
      </w:r>
      <w:r w:rsidR="00774E01" w:rsidRPr="5FAC94B9">
        <w:rPr>
          <w:rFonts w:cs="Calibri"/>
          <w:i/>
          <w:iCs/>
          <w:color w:val="000000" w:themeColor="text1"/>
          <w:shd w:val="clear" w:color="auto" w:fill="FFFFFF"/>
        </w:rPr>
        <w:t xml:space="preserve"> úspěšné</w:t>
      </w:r>
      <w:r w:rsidR="002365C0" w:rsidRPr="5FAC94B9">
        <w:rPr>
          <w:rFonts w:cs="Calibri"/>
          <w:i/>
          <w:iCs/>
          <w:color w:val="000000" w:themeColor="text1"/>
          <w:shd w:val="clear" w:color="auto" w:fill="FFFFFF"/>
        </w:rPr>
        <w:t>m</w:t>
      </w:r>
      <w:r w:rsidR="00774E01" w:rsidRPr="5FAC94B9">
        <w:rPr>
          <w:rFonts w:cs="Calibri"/>
          <w:i/>
          <w:iCs/>
          <w:color w:val="000000" w:themeColor="text1"/>
          <w:shd w:val="clear" w:color="auto" w:fill="FFFFFF"/>
        </w:rPr>
        <w:t xml:space="preserve"> dokončení duálního listingu na burze Euronext Amsterdam, který </w:t>
      </w:r>
      <w:r w:rsidR="00197D04" w:rsidRPr="5FAC94B9">
        <w:rPr>
          <w:rFonts w:cs="Calibri"/>
          <w:i/>
          <w:iCs/>
          <w:color w:val="000000" w:themeColor="text1"/>
          <w:shd w:val="clear" w:color="auto" w:fill="FFFFFF"/>
        </w:rPr>
        <w:t>posíl</w:t>
      </w:r>
      <w:r w:rsidR="00455C27" w:rsidRPr="5FAC94B9">
        <w:rPr>
          <w:rFonts w:cs="Calibri"/>
          <w:i/>
          <w:iCs/>
          <w:color w:val="000000" w:themeColor="text1"/>
          <w:shd w:val="clear" w:color="auto" w:fill="FFFFFF"/>
        </w:rPr>
        <w:t xml:space="preserve">il </w:t>
      </w:r>
      <w:r w:rsidR="002365C0" w:rsidRPr="5FAC94B9">
        <w:rPr>
          <w:rFonts w:cs="Calibri"/>
          <w:i/>
          <w:iCs/>
        </w:rPr>
        <w:t>naši pozici mezi mezinárodními veřejně obchodovanými společnostmi</w:t>
      </w:r>
      <w:r w:rsidR="00454738" w:rsidRPr="5FAC94B9">
        <w:rPr>
          <w:rFonts w:cs="Calibri"/>
          <w:i/>
          <w:iCs/>
        </w:rPr>
        <w:t>,</w:t>
      </w:r>
      <w:r w:rsidRPr="5FAC94B9">
        <w:rPr>
          <w:rFonts w:cs="Calibri"/>
          <w:i/>
          <w:iCs/>
        </w:rPr>
        <w:t>“</w:t>
      </w:r>
      <w:r w:rsidR="00454738" w:rsidRPr="5FAC94B9">
        <w:rPr>
          <w:rFonts w:cs="Calibri"/>
          <w:i/>
          <w:iCs/>
        </w:rPr>
        <w:t xml:space="preserve"> </w:t>
      </w:r>
      <w:r w:rsidR="003625E4" w:rsidRPr="5FAC94B9">
        <w:rPr>
          <w:rFonts w:cs="Calibri"/>
        </w:rPr>
        <w:t>dodal</w:t>
      </w:r>
      <w:r w:rsidR="008523EF" w:rsidRPr="5FAC94B9">
        <w:rPr>
          <w:rFonts w:cs="Calibri"/>
          <w:i/>
          <w:iCs/>
        </w:rPr>
        <w:t xml:space="preserve"> </w:t>
      </w:r>
      <w:r w:rsidR="008523EF" w:rsidRPr="5FAC94B9">
        <w:rPr>
          <w:rFonts w:cs="Calibri"/>
          <w:b/>
          <w:bCs/>
        </w:rPr>
        <w:t>Radek Musil</w:t>
      </w:r>
      <w:r w:rsidR="008523EF" w:rsidRPr="5FAC94B9">
        <w:rPr>
          <w:rFonts w:cs="Calibri"/>
        </w:rPr>
        <w:t>.</w:t>
      </w:r>
    </w:p>
    <w:p w14:paraId="13BCD4DD" w14:textId="49241BD7" w:rsidR="004813A9" w:rsidRPr="00027958" w:rsidRDefault="004813A9" w:rsidP="008F19B8">
      <w:pPr>
        <w:spacing w:before="360" w:after="120" w:line="276" w:lineRule="auto"/>
        <w:rPr>
          <w:rFonts w:eastAsiaTheme="minorEastAsia" w:cs="Calibri"/>
          <w:b/>
          <w:bCs/>
        </w:rPr>
      </w:pPr>
      <w:r w:rsidRPr="5FAC94B9">
        <w:rPr>
          <w:rFonts w:eastAsiaTheme="minorEastAsia" w:cs="Calibri"/>
          <w:b/>
          <w:bCs/>
        </w:rPr>
        <w:t>Výnosy</w:t>
      </w:r>
      <w:r w:rsidR="00CF327D" w:rsidRPr="5FAC94B9">
        <w:rPr>
          <w:rFonts w:eastAsiaTheme="minorEastAsia" w:cs="Calibri"/>
          <w:b/>
          <w:bCs/>
        </w:rPr>
        <w:t xml:space="preserve"> a jejich geografické rozdělení</w:t>
      </w:r>
    </w:p>
    <w:p w14:paraId="7863DBF4" w14:textId="17767EF5" w:rsidR="001C60E2" w:rsidRPr="00027958" w:rsidRDefault="43D88A91" w:rsidP="008318F7">
      <w:pPr>
        <w:autoSpaceDE w:val="0"/>
        <w:autoSpaceDN w:val="0"/>
        <w:adjustRightInd w:val="0"/>
        <w:spacing w:before="120" w:line="276" w:lineRule="auto"/>
        <w:rPr>
          <w:rFonts w:eastAsiaTheme="minorEastAsia" w:cs="Calibri"/>
        </w:rPr>
      </w:pPr>
      <w:r w:rsidRPr="5FAC94B9">
        <w:rPr>
          <w:rFonts w:eastAsiaTheme="minorEastAsia" w:cs="Calibri"/>
        </w:rPr>
        <w:t>C</w:t>
      </w:r>
      <w:r w:rsidR="001C60E2" w:rsidRPr="5FAC94B9">
        <w:rPr>
          <w:rFonts w:eastAsiaTheme="minorEastAsia" w:cs="Calibri"/>
        </w:rPr>
        <w:t xml:space="preserve">elkové výnosy Skupiny </w:t>
      </w:r>
      <w:r w:rsidR="00973A4B" w:rsidRPr="1E4F6CB8">
        <w:rPr>
          <w:rFonts w:eastAsia="Montserrat Light"/>
        </w:rPr>
        <w:t>za první tři měsíce roku 202</w:t>
      </w:r>
      <w:r w:rsidR="003625E4" w:rsidRPr="1E4F6CB8">
        <w:rPr>
          <w:rFonts w:eastAsia="Montserrat Light"/>
        </w:rPr>
        <w:t>6</w:t>
      </w:r>
      <w:r w:rsidR="00973A4B" w:rsidRPr="1E4F6CB8">
        <w:rPr>
          <w:rFonts w:eastAsia="Montserrat Light"/>
        </w:rPr>
        <w:t xml:space="preserve"> </w:t>
      </w:r>
      <w:r w:rsidR="1021F9B4" w:rsidRPr="5FAC94B9">
        <w:rPr>
          <w:rFonts w:eastAsiaTheme="minorEastAsia" w:cs="Calibri"/>
        </w:rPr>
        <w:t xml:space="preserve">vzrostly oproti </w:t>
      </w:r>
      <w:r w:rsidR="00371A4F" w:rsidRPr="5FAC94B9">
        <w:rPr>
          <w:rFonts w:eastAsiaTheme="minorEastAsia" w:cs="Calibri"/>
        </w:rPr>
        <w:t xml:space="preserve">stejnému období </w:t>
      </w:r>
      <w:r w:rsidR="1021F9B4" w:rsidRPr="5FAC94B9">
        <w:rPr>
          <w:rFonts w:eastAsiaTheme="minorEastAsia" w:cs="Calibri"/>
        </w:rPr>
        <w:t xml:space="preserve">roku </w:t>
      </w:r>
      <w:r w:rsidR="00371A4F" w:rsidRPr="5FAC94B9">
        <w:rPr>
          <w:rFonts w:eastAsiaTheme="minorEastAsia" w:cs="Calibri"/>
        </w:rPr>
        <w:t>202</w:t>
      </w:r>
      <w:r w:rsidR="003625E4" w:rsidRPr="5FAC94B9">
        <w:rPr>
          <w:rFonts w:eastAsiaTheme="minorEastAsia" w:cs="Calibri"/>
        </w:rPr>
        <w:t>5</w:t>
      </w:r>
      <w:r w:rsidR="1021F9B4" w:rsidRPr="5FAC94B9">
        <w:rPr>
          <w:rFonts w:eastAsiaTheme="minorEastAsia" w:cs="Calibri"/>
        </w:rPr>
        <w:t xml:space="preserve"> </w:t>
      </w:r>
      <w:r w:rsidR="001C60E2" w:rsidRPr="5FAC94B9">
        <w:rPr>
          <w:rFonts w:eastAsiaTheme="minorEastAsia" w:cs="Calibri"/>
        </w:rPr>
        <w:t xml:space="preserve">o </w:t>
      </w:r>
      <w:r w:rsidR="00DF3AF9" w:rsidRPr="5FAC94B9">
        <w:rPr>
          <w:rFonts w:eastAsiaTheme="minorEastAsia" w:cs="Calibri"/>
        </w:rPr>
        <w:t>32,7</w:t>
      </w:r>
      <w:r w:rsidR="001C60E2" w:rsidRPr="5FAC94B9">
        <w:rPr>
          <w:rFonts w:eastAsiaTheme="minorEastAsia" w:cs="Calibri"/>
        </w:rPr>
        <w:t xml:space="preserve"> % na částku </w:t>
      </w:r>
      <w:r w:rsidR="00DF3AF9" w:rsidRPr="5FAC94B9">
        <w:rPr>
          <w:rFonts w:eastAsiaTheme="minorEastAsia" w:cs="Calibri"/>
        </w:rPr>
        <w:t>7,3</w:t>
      </w:r>
      <w:r w:rsidR="001C60E2" w:rsidRPr="5FAC94B9">
        <w:rPr>
          <w:rFonts w:eastAsiaTheme="minorEastAsia" w:cs="Calibri"/>
        </w:rPr>
        <w:t xml:space="preserve"> mld. Kč. </w:t>
      </w:r>
      <w:r w:rsidR="00973A4B" w:rsidRPr="1E4F6CB8">
        <w:rPr>
          <w:w w:val="0"/>
        </w:rPr>
        <w:t xml:space="preserve">Tento výsledek je kombinací organického růstu </w:t>
      </w:r>
      <w:r w:rsidR="00645127" w:rsidRPr="1E4F6CB8">
        <w:rPr>
          <w:w w:val="0"/>
        </w:rPr>
        <w:t xml:space="preserve">v tradičních segmentech </w:t>
      </w:r>
      <w:r w:rsidR="00645127" w:rsidRPr="00441A32">
        <w:rPr>
          <w:w w:val="0"/>
        </w:rPr>
        <w:t>a konsolidací výnosů</w:t>
      </w:r>
      <w:r w:rsidR="00645127" w:rsidRPr="1E4F6CB8">
        <w:rPr>
          <w:w w:val="0"/>
        </w:rPr>
        <w:t xml:space="preserve"> segmentu energetických materiálů po akvizici </w:t>
      </w:r>
      <w:r w:rsidR="00645127" w:rsidRPr="1E4F6CB8">
        <w:rPr>
          <w:w w:val="0"/>
        </w:rPr>
        <w:lastRenderedPageBreak/>
        <w:t xml:space="preserve">společností Synthesia </w:t>
      </w:r>
      <w:r w:rsidR="00645127">
        <w:t>Nitrocellulose a Synthesia Power</w:t>
      </w:r>
      <w:r w:rsidR="003625E4" w:rsidRPr="00027958">
        <w:rPr>
          <w:w w:val="0"/>
          <w:szCs w:val="20"/>
        </w:rPr>
        <w:t>.</w:t>
      </w:r>
      <w:r w:rsidR="00973A4B" w:rsidRPr="1E4F6CB8">
        <w:rPr>
          <w:w w:val="0"/>
        </w:rPr>
        <w:t xml:space="preserve"> Nárůst tržeb byl zaznamenán </w:t>
      </w:r>
      <w:r w:rsidR="00973A4B">
        <w:t xml:space="preserve">zejména </w:t>
      </w:r>
      <w:r w:rsidR="00793F25">
        <w:rPr>
          <w:w w:val="0"/>
        </w:rPr>
        <w:t>u</w:t>
      </w:r>
      <w:r w:rsidR="00793F25">
        <w:t xml:space="preserve"> zákazníků z řad</w:t>
      </w:r>
      <w:r w:rsidR="00973A4B">
        <w:t xml:space="preserve"> ozbrojených složek</w:t>
      </w:r>
      <w:r w:rsidR="00454738">
        <w:t>.</w:t>
      </w:r>
      <w:r w:rsidR="00645127">
        <w:t xml:space="preserve"> </w:t>
      </w:r>
      <w:r w:rsidR="002535F3">
        <w:t>Na celkovou výši výnosů měl</w:t>
      </w:r>
      <w:r w:rsidR="002B767C">
        <w:t>o</w:t>
      </w:r>
      <w:r w:rsidR="00196E0E">
        <w:t xml:space="preserve"> rovněž</w:t>
      </w:r>
      <w:r w:rsidR="003D1E6D">
        <w:t xml:space="preserve"> negativní</w:t>
      </w:r>
      <w:r w:rsidR="002535F3">
        <w:t xml:space="preserve"> vliv </w:t>
      </w:r>
      <w:r w:rsidR="00196E0E">
        <w:t>pokračující</w:t>
      </w:r>
      <w:r w:rsidR="002535F3">
        <w:t xml:space="preserve"> posilování české koruny vůči USD a EUR.</w:t>
      </w:r>
    </w:p>
    <w:p w14:paraId="2B978029" w14:textId="5E1CB02A" w:rsidR="001C60E2" w:rsidRPr="00027958" w:rsidRDefault="001C60E2" w:rsidP="008318F7">
      <w:pPr>
        <w:pStyle w:val="DocText"/>
        <w:spacing w:line="276" w:lineRule="auto"/>
        <w:rPr>
          <w:rFonts w:ascii="Atyp Colt CZ" w:hAnsi="Atyp Colt CZ" w:cs="Calibri"/>
          <w:lang w:val="cs-CZ"/>
        </w:rPr>
      </w:pPr>
      <w:bookmarkStart w:id="3" w:name="_Hlk67647981"/>
      <w:r w:rsidRPr="5FAC94B9">
        <w:rPr>
          <w:rFonts w:ascii="Atyp Colt CZ" w:hAnsi="Atyp Colt CZ" w:cs="Calibri"/>
          <w:lang w:val="cs-CZ"/>
        </w:rPr>
        <w:t xml:space="preserve">Výnosy v ČR </w:t>
      </w:r>
      <w:r w:rsidR="00454738" w:rsidRPr="5FAC94B9">
        <w:rPr>
          <w:rFonts w:ascii="Atyp Colt CZ" w:hAnsi="Atyp Colt CZ" w:cs="Calibri"/>
          <w:lang w:val="cs-CZ"/>
        </w:rPr>
        <w:t>za první tři měsíce roku 202</w:t>
      </w:r>
      <w:r w:rsidR="003625E4" w:rsidRPr="5FAC94B9">
        <w:rPr>
          <w:rFonts w:ascii="Atyp Colt CZ" w:hAnsi="Atyp Colt CZ" w:cs="Calibri"/>
          <w:lang w:val="cs-CZ"/>
        </w:rPr>
        <w:t>6</w:t>
      </w:r>
      <w:r w:rsidR="00454738" w:rsidRPr="5FAC94B9">
        <w:rPr>
          <w:rFonts w:ascii="Atyp Colt CZ" w:hAnsi="Atyp Colt CZ" w:cs="Calibri"/>
          <w:lang w:val="cs-CZ"/>
        </w:rPr>
        <w:t xml:space="preserve"> </w:t>
      </w:r>
      <w:r w:rsidR="00DF3AF9" w:rsidRPr="5FAC94B9">
        <w:rPr>
          <w:rFonts w:ascii="Atyp Colt CZ" w:hAnsi="Atyp Colt CZ" w:cs="Calibri"/>
          <w:lang w:val="cs-CZ"/>
        </w:rPr>
        <w:t>vzrostly</w:t>
      </w:r>
      <w:r w:rsidRPr="5FAC94B9">
        <w:rPr>
          <w:rFonts w:ascii="Atyp Colt CZ" w:hAnsi="Atyp Colt CZ" w:cs="Calibri"/>
          <w:lang w:val="cs-CZ"/>
        </w:rPr>
        <w:t xml:space="preserve"> o </w:t>
      </w:r>
      <w:r w:rsidR="00DF3AF9" w:rsidRPr="5FAC94B9">
        <w:rPr>
          <w:rFonts w:ascii="Atyp Colt CZ" w:hAnsi="Atyp Colt CZ" w:cs="Calibri"/>
          <w:lang w:val="cs-CZ"/>
        </w:rPr>
        <w:t>96,7</w:t>
      </w:r>
      <w:r w:rsidRPr="5FAC94B9">
        <w:rPr>
          <w:rFonts w:ascii="Atyp Colt CZ" w:hAnsi="Atyp Colt CZ" w:cs="Calibri"/>
          <w:lang w:val="cs-CZ"/>
        </w:rPr>
        <w:t xml:space="preserve"> % na </w:t>
      </w:r>
      <w:r w:rsidR="00DF3AF9" w:rsidRPr="5FAC94B9">
        <w:rPr>
          <w:rFonts w:ascii="Atyp Colt CZ" w:hAnsi="Atyp Colt CZ" w:cs="Calibri"/>
          <w:lang w:val="cs-CZ"/>
        </w:rPr>
        <w:t>1 mld.</w:t>
      </w:r>
      <w:r w:rsidRPr="5FAC94B9">
        <w:rPr>
          <w:rFonts w:ascii="Atyp Colt CZ" w:hAnsi="Atyp Colt CZ" w:cs="Calibri"/>
          <w:lang w:val="cs-CZ"/>
        </w:rPr>
        <w:t xml:space="preserve"> Kč</w:t>
      </w:r>
      <w:r w:rsidR="00547D3C" w:rsidRPr="5FAC94B9">
        <w:rPr>
          <w:rFonts w:ascii="Atyp Colt CZ" w:hAnsi="Atyp Colt CZ" w:cs="Calibri"/>
          <w:lang w:val="cs-CZ"/>
        </w:rPr>
        <w:t>,</w:t>
      </w:r>
      <w:r w:rsidR="00DF3AF9" w:rsidRPr="5FAC94B9">
        <w:rPr>
          <w:rFonts w:ascii="Atyp Colt CZ" w:hAnsi="Atyp Colt CZ" w:cs="Calibri"/>
          <w:lang w:val="cs-CZ"/>
        </w:rPr>
        <w:t xml:space="preserve"> a to zejména konsolidací nového segmentu </w:t>
      </w:r>
      <w:r w:rsidR="00314275" w:rsidRPr="5FAC94B9">
        <w:rPr>
          <w:rFonts w:ascii="Atyp Colt CZ" w:hAnsi="Atyp Colt CZ" w:cs="Calibri"/>
          <w:lang w:val="cs-CZ"/>
        </w:rPr>
        <w:t>energetických materiálů</w:t>
      </w:r>
      <w:r w:rsidR="00DF3AF9" w:rsidRPr="5FAC94B9">
        <w:rPr>
          <w:rFonts w:ascii="Atyp Colt CZ" w:hAnsi="Atyp Colt CZ" w:cs="Calibri"/>
          <w:lang w:val="cs-CZ"/>
        </w:rPr>
        <w:t xml:space="preserve"> od 1. ledna 2026. </w:t>
      </w:r>
      <w:r w:rsidRPr="5FAC94B9">
        <w:rPr>
          <w:rFonts w:ascii="Atyp Colt CZ" w:hAnsi="Atyp Colt CZ" w:cs="Calibri"/>
          <w:lang w:val="cs-CZ"/>
        </w:rPr>
        <w:t xml:space="preserve">Výnosy z prodejů ve Spojených státech </w:t>
      </w:r>
      <w:r w:rsidR="00DF3AF9" w:rsidRPr="5FAC94B9">
        <w:rPr>
          <w:rFonts w:ascii="Atyp Colt CZ" w:hAnsi="Atyp Colt CZ" w:cs="Calibri"/>
          <w:lang w:val="cs-CZ"/>
        </w:rPr>
        <w:t>poklesly</w:t>
      </w:r>
      <w:r w:rsidR="009A0989" w:rsidRPr="5FAC94B9">
        <w:rPr>
          <w:rFonts w:ascii="Atyp Colt CZ" w:hAnsi="Atyp Colt CZ" w:cs="Calibri"/>
          <w:lang w:val="cs-CZ"/>
        </w:rPr>
        <w:t xml:space="preserve"> </w:t>
      </w:r>
      <w:r w:rsidRPr="5FAC94B9">
        <w:rPr>
          <w:rFonts w:ascii="Atyp Colt CZ" w:hAnsi="Atyp Colt CZ" w:cs="Calibri"/>
          <w:lang w:val="cs-CZ"/>
        </w:rPr>
        <w:t xml:space="preserve">meziročně o </w:t>
      </w:r>
      <w:r w:rsidR="00DF3AF9" w:rsidRPr="5FAC94B9">
        <w:rPr>
          <w:rFonts w:ascii="Atyp Colt CZ" w:hAnsi="Atyp Colt CZ" w:cs="Calibri"/>
          <w:lang w:val="cs-CZ"/>
        </w:rPr>
        <w:t>31,2</w:t>
      </w:r>
      <w:r w:rsidRPr="5FAC94B9">
        <w:rPr>
          <w:rFonts w:ascii="Atyp Colt CZ" w:hAnsi="Atyp Colt CZ" w:cs="Calibri"/>
          <w:lang w:val="cs-CZ"/>
        </w:rPr>
        <w:t xml:space="preserve"> % na </w:t>
      </w:r>
      <w:r w:rsidR="00DF3AF9" w:rsidRPr="5FAC94B9">
        <w:rPr>
          <w:rFonts w:ascii="Atyp Colt CZ" w:hAnsi="Atyp Colt CZ" w:cs="Calibri"/>
          <w:lang w:val="cs-CZ"/>
        </w:rPr>
        <w:t>1,7</w:t>
      </w:r>
      <w:r w:rsidRPr="5FAC94B9">
        <w:rPr>
          <w:rFonts w:ascii="Atyp Colt CZ" w:hAnsi="Atyp Colt CZ" w:cs="Calibri"/>
          <w:lang w:val="cs-CZ"/>
        </w:rPr>
        <w:t xml:space="preserve"> mld. Kč</w:t>
      </w:r>
      <w:r w:rsidR="003868B8" w:rsidRPr="5FAC94B9">
        <w:rPr>
          <w:rFonts w:ascii="Atyp Colt CZ" w:hAnsi="Atyp Colt CZ" w:cs="Calibri"/>
          <w:lang w:val="cs-CZ"/>
        </w:rPr>
        <w:t xml:space="preserve">. </w:t>
      </w:r>
      <w:r w:rsidR="00DA5C60" w:rsidRPr="5FAC94B9">
        <w:rPr>
          <w:rFonts w:ascii="Atyp Colt CZ" w:hAnsi="Atyp Colt CZ" w:cs="Calibri"/>
          <w:lang w:val="cs-CZ"/>
        </w:rPr>
        <w:t xml:space="preserve">Vývoj </w:t>
      </w:r>
      <w:r w:rsidR="008C6CFF" w:rsidRPr="5FAC94B9">
        <w:rPr>
          <w:rFonts w:ascii="Atyp Colt CZ" w:hAnsi="Atyp Colt CZ" w:cs="Calibri"/>
          <w:lang w:val="cs-CZ"/>
        </w:rPr>
        <w:t xml:space="preserve">v USA </w:t>
      </w:r>
      <w:r w:rsidR="00DA5C60" w:rsidRPr="5FAC94B9">
        <w:rPr>
          <w:rFonts w:ascii="Atyp Colt CZ" w:hAnsi="Atyp Colt CZ" w:cs="Calibri"/>
          <w:lang w:val="cs-CZ"/>
        </w:rPr>
        <w:t xml:space="preserve">byl </w:t>
      </w:r>
      <w:r w:rsidR="004F586B" w:rsidRPr="5FAC94B9">
        <w:rPr>
          <w:rFonts w:ascii="Atyp Colt CZ" w:hAnsi="Atyp Colt CZ" w:cs="Calibri"/>
          <w:lang w:val="cs-CZ"/>
        </w:rPr>
        <w:t>ovlivněn řadou faktorů</w:t>
      </w:r>
      <w:r w:rsidR="00A445E7" w:rsidRPr="5FAC94B9">
        <w:rPr>
          <w:rFonts w:ascii="Atyp Colt CZ" w:hAnsi="Atyp Colt CZ" w:cs="Calibri"/>
          <w:lang w:val="cs-CZ"/>
        </w:rPr>
        <w:t xml:space="preserve">, </w:t>
      </w:r>
      <w:r w:rsidR="003335BF" w:rsidRPr="5FAC94B9">
        <w:rPr>
          <w:rFonts w:ascii="Atyp Colt CZ" w:hAnsi="Atyp Colt CZ" w:cs="Calibri"/>
          <w:lang w:val="cs-CZ"/>
        </w:rPr>
        <w:t xml:space="preserve">kterými byly </w:t>
      </w:r>
      <w:r w:rsidR="00A445E7" w:rsidRPr="5FAC94B9">
        <w:rPr>
          <w:rFonts w:ascii="Atyp Colt CZ" w:hAnsi="Atyp Colt CZ" w:cs="Calibri"/>
          <w:lang w:val="cs-CZ"/>
        </w:rPr>
        <w:t>zejména</w:t>
      </w:r>
      <w:r w:rsidR="00645127" w:rsidRPr="5FAC94B9">
        <w:rPr>
          <w:rFonts w:ascii="Atyp Colt CZ" w:hAnsi="Atyp Colt CZ" w:cs="Calibri"/>
          <w:lang w:val="cs-CZ"/>
        </w:rPr>
        <w:t xml:space="preserve"> </w:t>
      </w:r>
      <w:r w:rsidR="000410E3" w:rsidRPr="5FAC94B9">
        <w:rPr>
          <w:rFonts w:ascii="Atyp Colt CZ" w:hAnsi="Atyp Colt CZ" w:cs="Calibri"/>
          <w:lang w:val="cs-CZ"/>
        </w:rPr>
        <w:t>se</w:t>
      </w:r>
      <w:r w:rsidR="00A017B9" w:rsidRPr="5FAC94B9">
        <w:rPr>
          <w:rFonts w:ascii="Atyp Colt CZ" w:hAnsi="Atyp Colt CZ" w:cs="Calibri"/>
          <w:lang w:val="cs-CZ"/>
        </w:rPr>
        <w:t>zónnost</w:t>
      </w:r>
      <w:r w:rsidR="00645127" w:rsidRPr="5FAC94B9">
        <w:rPr>
          <w:rFonts w:ascii="Atyp Colt CZ" w:hAnsi="Atyp Colt CZ" w:cs="Calibri"/>
          <w:lang w:val="cs-CZ"/>
        </w:rPr>
        <w:t xml:space="preserve"> zakázek v segmentu ozbrojených složek</w:t>
      </w:r>
      <w:r w:rsidR="00547D3C" w:rsidRPr="5FAC94B9">
        <w:rPr>
          <w:rFonts w:ascii="Atyp Colt CZ" w:hAnsi="Atyp Colt CZ" w:cs="Calibri"/>
          <w:lang w:val="cs-CZ"/>
        </w:rPr>
        <w:t>,</w:t>
      </w:r>
      <w:r w:rsidR="00F35E65" w:rsidRPr="5FAC94B9">
        <w:rPr>
          <w:rFonts w:ascii="Atyp Colt CZ" w:hAnsi="Atyp Colt CZ" w:cs="Calibri"/>
          <w:lang w:val="cs-CZ"/>
        </w:rPr>
        <w:t xml:space="preserve"> </w:t>
      </w:r>
      <w:r w:rsidR="00645127" w:rsidRPr="5FAC94B9">
        <w:rPr>
          <w:rFonts w:ascii="Atyp Colt CZ" w:hAnsi="Atyp Colt CZ" w:cs="Calibri"/>
          <w:lang w:val="cs-CZ"/>
        </w:rPr>
        <w:t>mírné oživ</w:t>
      </w:r>
      <w:r w:rsidR="00B62DA9" w:rsidRPr="5FAC94B9">
        <w:rPr>
          <w:rFonts w:ascii="Atyp Colt CZ" w:hAnsi="Atyp Colt CZ" w:cs="Calibri"/>
          <w:lang w:val="cs-CZ"/>
        </w:rPr>
        <w:t>e</w:t>
      </w:r>
      <w:r w:rsidR="00645127" w:rsidRPr="5FAC94B9">
        <w:rPr>
          <w:rFonts w:ascii="Atyp Colt CZ" w:hAnsi="Atyp Colt CZ" w:cs="Calibri"/>
          <w:lang w:val="cs-CZ"/>
        </w:rPr>
        <w:t>ní komerčního trhu</w:t>
      </w:r>
      <w:r w:rsidR="006B3E71" w:rsidRPr="5FAC94B9">
        <w:rPr>
          <w:rFonts w:ascii="Atyp Colt CZ" w:hAnsi="Atyp Colt CZ" w:cs="Calibri"/>
          <w:lang w:val="cs-CZ"/>
        </w:rPr>
        <w:t>,</w:t>
      </w:r>
      <w:r w:rsidR="003868B8" w:rsidRPr="5FAC94B9">
        <w:rPr>
          <w:rFonts w:ascii="Atyp Colt CZ" w:hAnsi="Atyp Colt CZ" w:cs="Calibri"/>
          <w:lang w:val="cs-CZ"/>
        </w:rPr>
        <w:t xml:space="preserve"> a rovněž pokles výnosů </w:t>
      </w:r>
      <w:r w:rsidR="00A445E7" w:rsidRPr="5FAC94B9">
        <w:rPr>
          <w:rFonts w:ascii="Atyp Colt CZ" w:hAnsi="Atyp Colt CZ" w:cs="Calibri"/>
          <w:lang w:val="cs-CZ"/>
        </w:rPr>
        <w:t xml:space="preserve">v </w:t>
      </w:r>
      <w:r w:rsidR="003868B8" w:rsidRPr="5FAC94B9">
        <w:rPr>
          <w:rFonts w:ascii="Atyp Colt CZ" w:hAnsi="Atyp Colt CZ" w:cs="Calibri"/>
          <w:lang w:val="cs-CZ"/>
        </w:rPr>
        <w:t xml:space="preserve">segmentu munice </w:t>
      </w:r>
      <w:r w:rsidR="00A445E7" w:rsidRPr="5FAC94B9">
        <w:rPr>
          <w:rFonts w:ascii="Atyp Colt CZ" w:hAnsi="Atyp Colt CZ" w:cs="Calibri"/>
          <w:lang w:val="cs-CZ"/>
        </w:rPr>
        <w:t xml:space="preserve">z důvodu </w:t>
      </w:r>
      <w:r w:rsidR="009A6E42" w:rsidRPr="5FAC94B9">
        <w:rPr>
          <w:rFonts w:ascii="Atyp Colt CZ" w:hAnsi="Atyp Colt CZ" w:cs="Calibri"/>
          <w:lang w:val="cs-CZ"/>
        </w:rPr>
        <w:t xml:space="preserve">zavedení cel ze strany USA a následného </w:t>
      </w:r>
      <w:r w:rsidR="00A445E7" w:rsidRPr="5FAC94B9">
        <w:rPr>
          <w:rFonts w:ascii="Atyp Colt CZ" w:hAnsi="Atyp Colt CZ" w:cs="Calibri"/>
          <w:lang w:val="cs-CZ"/>
        </w:rPr>
        <w:t>přesun</w:t>
      </w:r>
      <w:r w:rsidR="00326F9D" w:rsidRPr="5FAC94B9">
        <w:rPr>
          <w:rFonts w:ascii="Atyp Colt CZ" w:hAnsi="Atyp Colt CZ" w:cs="Calibri"/>
          <w:lang w:val="cs-CZ"/>
        </w:rPr>
        <w:t xml:space="preserve">u </w:t>
      </w:r>
      <w:r w:rsidR="009A6E42" w:rsidRPr="5FAC94B9">
        <w:rPr>
          <w:rFonts w:ascii="Atyp Colt CZ" w:hAnsi="Atyp Colt CZ" w:cs="Calibri"/>
          <w:lang w:val="cs-CZ"/>
        </w:rPr>
        <w:t xml:space="preserve">části </w:t>
      </w:r>
      <w:r w:rsidR="00326F9D" w:rsidRPr="5FAC94B9">
        <w:rPr>
          <w:rFonts w:ascii="Atyp Colt CZ" w:hAnsi="Atyp Colt CZ" w:cs="Calibri"/>
          <w:lang w:val="cs-CZ"/>
        </w:rPr>
        <w:t>dodávek na evropské trhy</w:t>
      </w:r>
      <w:r w:rsidR="00CC66ED" w:rsidRPr="5FAC94B9">
        <w:rPr>
          <w:rFonts w:ascii="Atyp Colt CZ" w:hAnsi="Atyp Colt CZ" w:cs="Calibri"/>
          <w:lang w:val="cs-CZ"/>
        </w:rPr>
        <w:t>.</w:t>
      </w:r>
      <w:r w:rsidRPr="5FAC94B9">
        <w:rPr>
          <w:rFonts w:ascii="Atyp Colt CZ" w:hAnsi="Atyp Colt CZ" w:cs="Calibri"/>
          <w:lang w:val="cs-CZ"/>
        </w:rPr>
        <w:t xml:space="preserve"> Výnosy realizované v Kanadě </w:t>
      </w:r>
      <w:r w:rsidR="008633E1" w:rsidRPr="5FAC94B9">
        <w:rPr>
          <w:rFonts w:ascii="Atyp Colt CZ" w:hAnsi="Atyp Colt CZ" w:cs="Calibri"/>
          <w:lang w:val="cs-CZ"/>
        </w:rPr>
        <w:t>za první tři měsíce roku 202</w:t>
      </w:r>
      <w:r w:rsidR="00DF3AF9" w:rsidRPr="5FAC94B9">
        <w:rPr>
          <w:rFonts w:ascii="Atyp Colt CZ" w:hAnsi="Atyp Colt CZ" w:cs="Calibri"/>
          <w:lang w:val="cs-CZ"/>
        </w:rPr>
        <w:t>6</w:t>
      </w:r>
      <w:r w:rsidR="008633E1" w:rsidRPr="5FAC94B9">
        <w:rPr>
          <w:rFonts w:ascii="Atyp Colt CZ" w:hAnsi="Atyp Colt CZ" w:cs="Calibri"/>
          <w:lang w:val="cs-CZ"/>
        </w:rPr>
        <w:t xml:space="preserve"> </w:t>
      </w:r>
      <w:r w:rsidRPr="5FAC94B9">
        <w:rPr>
          <w:rFonts w:ascii="Atyp Colt CZ" w:hAnsi="Atyp Colt CZ" w:cs="Calibri"/>
          <w:lang w:val="cs-CZ"/>
        </w:rPr>
        <w:t xml:space="preserve">činily </w:t>
      </w:r>
      <w:r w:rsidR="00FA7CFC" w:rsidRPr="5FAC94B9">
        <w:rPr>
          <w:rFonts w:ascii="Atyp Colt CZ" w:hAnsi="Atyp Colt CZ" w:cs="Calibri"/>
          <w:lang w:val="cs-CZ"/>
        </w:rPr>
        <w:t>906,7</w:t>
      </w:r>
      <w:r w:rsidR="0092263C" w:rsidRPr="5FAC94B9">
        <w:rPr>
          <w:rFonts w:ascii="Atyp Colt CZ" w:hAnsi="Atyp Colt CZ" w:cs="Calibri"/>
          <w:lang w:val="cs-CZ"/>
        </w:rPr>
        <w:t xml:space="preserve"> </w:t>
      </w:r>
      <w:r w:rsidR="008633E1" w:rsidRPr="5FAC94B9">
        <w:rPr>
          <w:rFonts w:ascii="Atyp Colt CZ" w:hAnsi="Atyp Colt CZ" w:cs="Calibri"/>
          <w:lang w:val="cs-CZ"/>
        </w:rPr>
        <w:t>mil</w:t>
      </w:r>
      <w:r w:rsidRPr="5FAC94B9">
        <w:rPr>
          <w:rFonts w:ascii="Atyp Colt CZ" w:hAnsi="Atyp Colt CZ" w:cs="Calibri"/>
          <w:lang w:val="cs-CZ"/>
        </w:rPr>
        <w:t xml:space="preserve">. Kč, což je meziročně o </w:t>
      </w:r>
      <w:r w:rsidR="00FA7CFC" w:rsidRPr="5FAC94B9">
        <w:rPr>
          <w:rFonts w:ascii="Atyp Colt CZ" w:hAnsi="Atyp Colt CZ" w:cs="Calibri"/>
          <w:lang w:val="cs-CZ"/>
        </w:rPr>
        <w:t>349,2</w:t>
      </w:r>
      <w:r w:rsidRPr="5FAC94B9">
        <w:rPr>
          <w:rFonts w:ascii="Atyp Colt CZ" w:hAnsi="Atyp Colt CZ" w:cs="Calibri"/>
          <w:lang w:val="cs-CZ"/>
        </w:rPr>
        <w:t xml:space="preserve"> % </w:t>
      </w:r>
      <w:r w:rsidR="00FA7CFC" w:rsidRPr="5FAC94B9">
        <w:rPr>
          <w:rFonts w:ascii="Atyp Colt CZ" w:hAnsi="Atyp Colt CZ" w:cs="Calibri"/>
          <w:lang w:val="cs-CZ"/>
        </w:rPr>
        <w:t>více díky nově realizovan</w:t>
      </w:r>
      <w:r w:rsidR="00DB1203" w:rsidRPr="5FAC94B9">
        <w:rPr>
          <w:rFonts w:ascii="Atyp Colt CZ" w:hAnsi="Atyp Colt CZ" w:cs="Calibri"/>
          <w:lang w:val="cs-CZ"/>
        </w:rPr>
        <w:t>ému</w:t>
      </w:r>
      <w:r w:rsidR="00FA7CFC" w:rsidRPr="5FAC94B9">
        <w:rPr>
          <w:rFonts w:ascii="Atyp Colt CZ" w:hAnsi="Atyp Colt CZ" w:cs="Calibri"/>
          <w:lang w:val="cs-CZ"/>
        </w:rPr>
        <w:t xml:space="preserve"> kontrak</w:t>
      </w:r>
      <w:r w:rsidR="00DB1203" w:rsidRPr="5FAC94B9">
        <w:rPr>
          <w:rFonts w:ascii="Atyp Colt CZ" w:hAnsi="Atyp Colt CZ" w:cs="Calibri"/>
          <w:lang w:val="cs-CZ"/>
        </w:rPr>
        <w:t>tu</w:t>
      </w:r>
      <w:r w:rsidR="00FA7CFC" w:rsidRPr="5FAC94B9">
        <w:rPr>
          <w:rFonts w:ascii="Atyp Colt CZ" w:hAnsi="Atyp Colt CZ" w:cs="Calibri"/>
          <w:lang w:val="cs-CZ"/>
        </w:rPr>
        <w:t xml:space="preserve"> na dodávky pušek</w:t>
      </w:r>
      <w:r w:rsidR="009F3789" w:rsidRPr="5FAC94B9">
        <w:rPr>
          <w:rFonts w:ascii="Atyp Colt CZ" w:hAnsi="Atyp Colt CZ" w:cs="Calibri"/>
          <w:lang w:val="cs-CZ"/>
        </w:rPr>
        <w:t> kanadské armádě</w:t>
      </w:r>
      <w:r w:rsidR="4DEDC93B" w:rsidRPr="5FAC94B9">
        <w:rPr>
          <w:rFonts w:ascii="Atyp Colt CZ" w:eastAsia="Times New Roman" w:hAnsi="Atyp Colt CZ"/>
          <w:lang w:val="cs-CZ"/>
        </w:rPr>
        <w:t>.</w:t>
      </w:r>
      <w:r w:rsidRPr="5FAC94B9">
        <w:rPr>
          <w:rFonts w:ascii="Atyp Colt CZ" w:hAnsi="Atyp Colt CZ" w:cs="Calibri"/>
          <w:lang w:val="cs-CZ"/>
        </w:rPr>
        <w:t xml:space="preserve"> Výnosy dosažené v Evropě (vyjma ČR) </w:t>
      </w:r>
      <w:r w:rsidR="008633E1" w:rsidRPr="5FAC94B9">
        <w:rPr>
          <w:rFonts w:ascii="Atyp Colt CZ" w:hAnsi="Atyp Colt CZ" w:cs="Calibri"/>
          <w:lang w:val="cs-CZ"/>
        </w:rPr>
        <w:t>za první čtvrtletí roku 202</w:t>
      </w:r>
      <w:r w:rsidR="00FA7CFC" w:rsidRPr="5FAC94B9">
        <w:rPr>
          <w:rFonts w:ascii="Atyp Colt CZ" w:hAnsi="Atyp Colt CZ" w:cs="Calibri"/>
          <w:lang w:val="cs-CZ"/>
        </w:rPr>
        <w:t>6</w:t>
      </w:r>
      <w:r w:rsidR="008633E1" w:rsidRPr="5FAC94B9">
        <w:rPr>
          <w:rFonts w:ascii="Atyp Colt CZ" w:hAnsi="Atyp Colt CZ" w:cs="Calibri"/>
          <w:lang w:val="cs-CZ"/>
        </w:rPr>
        <w:t xml:space="preserve"> </w:t>
      </w:r>
      <w:r w:rsidRPr="5FAC94B9">
        <w:rPr>
          <w:rFonts w:ascii="Atyp Colt CZ" w:hAnsi="Atyp Colt CZ" w:cs="Calibri"/>
          <w:lang w:val="cs-CZ"/>
        </w:rPr>
        <w:t xml:space="preserve">se meziročně zvýšily o </w:t>
      </w:r>
      <w:r w:rsidR="00FA7CFC" w:rsidRPr="5FAC94B9">
        <w:rPr>
          <w:rFonts w:ascii="Atyp Colt CZ" w:hAnsi="Atyp Colt CZ" w:cs="Calibri"/>
          <w:lang w:val="cs-CZ"/>
        </w:rPr>
        <w:t>76,6</w:t>
      </w:r>
      <w:r w:rsidRPr="5FAC94B9">
        <w:rPr>
          <w:rFonts w:ascii="Atyp Colt CZ" w:hAnsi="Atyp Colt CZ" w:cs="Calibri"/>
          <w:lang w:val="cs-CZ"/>
        </w:rPr>
        <w:t xml:space="preserve"> % na </w:t>
      </w:r>
      <w:r w:rsidR="00FA7CFC" w:rsidRPr="5FAC94B9">
        <w:rPr>
          <w:rFonts w:ascii="Atyp Colt CZ" w:hAnsi="Atyp Colt CZ" w:cs="Calibri"/>
          <w:lang w:val="cs-CZ"/>
        </w:rPr>
        <w:t>3,2</w:t>
      </w:r>
      <w:r w:rsidRPr="5FAC94B9">
        <w:rPr>
          <w:rFonts w:ascii="Atyp Colt CZ" w:hAnsi="Atyp Colt CZ" w:cs="Calibri"/>
          <w:lang w:val="cs-CZ"/>
        </w:rPr>
        <w:t xml:space="preserve"> mld. Kč </w:t>
      </w:r>
      <w:r w:rsidR="2F783E90" w:rsidRPr="5FAC94B9">
        <w:rPr>
          <w:rFonts w:ascii="Atyp Colt CZ" w:hAnsi="Atyp Colt CZ" w:cs="Calibri"/>
          <w:lang w:val="cs-CZ"/>
        </w:rPr>
        <w:t>díky</w:t>
      </w:r>
      <w:r w:rsidRPr="5FAC94B9">
        <w:rPr>
          <w:rFonts w:ascii="Atyp Colt CZ" w:hAnsi="Atyp Colt CZ" w:cs="Calibri"/>
          <w:lang w:val="cs-CZ"/>
        </w:rPr>
        <w:t xml:space="preserve"> </w:t>
      </w:r>
      <w:r w:rsidR="008633E1" w:rsidRPr="5FAC94B9">
        <w:rPr>
          <w:rFonts w:ascii="Atyp Colt CZ" w:eastAsia="Times New Roman" w:hAnsi="Atyp Colt CZ"/>
          <w:lang w:val="cs-CZ"/>
        </w:rPr>
        <w:t xml:space="preserve">silné výkonnosti </w:t>
      </w:r>
      <w:r w:rsidR="00645127" w:rsidRPr="5FAC94B9">
        <w:rPr>
          <w:rFonts w:ascii="Atyp Colt CZ" w:eastAsia="Times New Roman" w:hAnsi="Atyp Colt CZ"/>
          <w:lang w:val="cs-CZ"/>
        </w:rPr>
        <w:t>Společnosti</w:t>
      </w:r>
      <w:r w:rsidR="008633E1" w:rsidRPr="5FAC94B9">
        <w:rPr>
          <w:rFonts w:ascii="Atyp Colt CZ" w:eastAsia="Times New Roman" w:hAnsi="Atyp Colt CZ"/>
          <w:lang w:val="cs-CZ"/>
        </w:rPr>
        <w:t xml:space="preserve"> na evropském trhu</w:t>
      </w:r>
      <w:r w:rsidR="00FA7CFC" w:rsidRPr="5FAC94B9">
        <w:rPr>
          <w:rFonts w:ascii="Atyp Colt CZ" w:eastAsia="Times New Roman" w:hAnsi="Atyp Colt CZ"/>
          <w:lang w:val="cs-CZ"/>
        </w:rPr>
        <w:t xml:space="preserve"> a </w:t>
      </w:r>
      <w:r w:rsidR="00FA7CFC" w:rsidRPr="5FAC94B9">
        <w:rPr>
          <w:rFonts w:ascii="Atyp Colt CZ" w:hAnsi="Atyp Colt CZ" w:cs="Calibri"/>
          <w:lang w:val="cs-CZ"/>
        </w:rPr>
        <w:t>konsolidac</w:t>
      </w:r>
      <w:r w:rsidR="00235B7F" w:rsidRPr="5FAC94B9">
        <w:rPr>
          <w:rFonts w:ascii="Atyp Colt CZ" w:hAnsi="Atyp Colt CZ" w:cs="Calibri"/>
          <w:lang w:val="cs-CZ"/>
        </w:rPr>
        <w:t>i</w:t>
      </w:r>
      <w:r w:rsidR="00FA7CFC" w:rsidRPr="5FAC94B9">
        <w:rPr>
          <w:rFonts w:ascii="Atyp Colt CZ" w:hAnsi="Atyp Colt CZ" w:cs="Calibri"/>
          <w:lang w:val="cs-CZ"/>
        </w:rPr>
        <w:t xml:space="preserve"> nového segmentu </w:t>
      </w:r>
      <w:r w:rsidR="00645127" w:rsidRPr="5FAC94B9">
        <w:rPr>
          <w:rFonts w:ascii="Atyp Colt CZ" w:hAnsi="Atyp Colt CZ" w:cs="Calibri"/>
          <w:lang w:val="cs-CZ"/>
        </w:rPr>
        <w:t>energetických materiálů</w:t>
      </w:r>
      <w:r w:rsidR="00FA7CFC" w:rsidRPr="5FAC94B9">
        <w:rPr>
          <w:rFonts w:ascii="Atyp Colt CZ" w:hAnsi="Atyp Colt CZ" w:cs="Calibri"/>
          <w:lang w:val="cs-CZ"/>
        </w:rPr>
        <w:t xml:space="preserve"> od 1. ledna 2026</w:t>
      </w:r>
      <w:r w:rsidR="008633E1" w:rsidRPr="5FAC94B9">
        <w:rPr>
          <w:rFonts w:ascii="Atyp Colt CZ" w:eastAsia="Times New Roman" w:hAnsi="Atyp Colt CZ"/>
          <w:lang w:val="cs-CZ"/>
        </w:rPr>
        <w:t>.</w:t>
      </w:r>
    </w:p>
    <w:p w14:paraId="6E1C76DD" w14:textId="35892FC8" w:rsidR="001C60E2" w:rsidRPr="00027958" w:rsidRDefault="001C60E2" w:rsidP="008318F7">
      <w:pPr>
        <w:pStyle w:val="DocText"/>
        <w:spacing w:line="276" w:lineRule="auto"/>
        <w:rPr>
          <w:rFonts w:ascii="Atyp Colt CZ" w:hAnsi="Atyp Colt CZ" w:cs="Calibri"/>
          <w:lang w:val="cs-CZ"/>
        </w:rPr>
      </w:pPr>
      <w:r w:rsidRPr="5FAC94B9">
        <w:rPr>
          <w:rFonts w:ascii="Atyp Colt CZ" w:hAnsi="Atyp Colt CZ" w:cs="Calibri"/>
          <w:lang w:val="cs-CZ"/>
        </w:rPr>
        <w:t xml:space="preserve">Výnosy dosažené v Africe </w:t>
      </w:r>
      <w:r w:rsidR="008633E1" w:rsidRPr="5FAC94B9">
        <w:rPr>
          <w:rFonts w:ascii="Atyp Colt CZ" w:hAnsi="Atyp Colt CZ" w:cs="Calibri"/>
          <w:lang w:val="cs-CZ"/>
        </w:rPr>
        <w:t>vzrostly</w:t>
      </w:r>
      <w:r w:rsidRPr="5FAC94B9">
        <w:rPr>
          <w:rFonts w:ascii="Atyp Colt CZ" w:hAnsi="Atyp Colt CZ" w:cs="Calibri"/>
          <w:lang w:val="cs-CZ"/>
        </w:rPr>
        <w:t xml:space="preserve"> </w:t>
      </w:r>
      <w:r w:rsidR="008633E1" w:rsidRPr="5FAC94B9">
        <w:rPr>
          <w:rFonts w:ascii="Atyp Colt CZ" w:hAnsi="Atyp Colt CZ" w:cs="Calibri"/>
          <w:lang w:val="cs-CZ"/>
        </w:rPr>
        <w:t>za první čtvrtletí roku 202</w:t>
      </w:r>
      <w:r w:rsidR="00FA7CFC" w:rsidRPr="5FAC94B9">
        <w:rPr>
          <w:rFonts w:ascii="Atyp Colt CZ" w:hAnsi="Atyp Colt CZ" w:cs="Calibri"/>
          <w:lang w:val="cs-CZ"/>
        </w:rPr>
        <w:t>6</w:t>
      </w:r>
      <w:r w:rsidR="008633E1" w:rsidRPr="5FAC94B9">
        <w:rPr>
          <w:rFonts w:ascii="Atyp Colt CZ" w:hAnsi="Atyp Colt CZ" w:cs="Calibri"/>
          <w:lang w:val="cs-CZ"/>
        </w:rPr>
        <w:t xml:space="preserve"> </w:t>
      </w:r>
      <w:r w:rsidRPr="5FAC94B9">
        <w:rPr>
          <w:rFonts w:ascii="Atyp Colt CZ" w:hAnsi="Atyp Colt CZ" w:cs="Calibri"/>
          <w:lang w:val="cs-CZ"/>
        </w:rPr>
        <w:t xml:space="preserve">o </w:t>
      </w:r>
      <w:r w:rsidR="00FA7CFC" w:rsidRPr="5FAC94B9">
        <w:rPr>
          <w:rFonts w:ascii="Atyp Colt CZ" w:hAnsi="Atyp Colt CZ" w:cs="Calibri"/>
          <w:lang w:val="cs-CZ"/>
        </w:rPr>
        <w:t>11,3</w:t>
      </w:r>
      <w:r w:rsidRPr="5FAC94B9">
        <w:rPr>
          <w:rFonts w:ascii="Atyp Colt CZ" w:hAnsi="Atyp Colt CZ" w:cs="Calibri"/>
          <w:lang w:val="cs-CZ"/>
        </w:rPr>
        <w:t xml:space="preserve"> % na </w:t>
      </w:r>
      <w:r w:rsidR="00FA7CFC" w:rsidRPr="5FAC94B9">
        <w:rPr>
          <w:rFonts w:ascii="Atyp Colt CZ" w:hAnsi="Atyp Colt CZ" w:cs="Calibri"/>
          <w:lang w:val="cs-CZ"/>
        </w:rPr>
        <w:t>71,7</w:t>
      </w:r>
      <w:r w:rsidRPr="5FAC94B9">
        <w:rPr>
          <w:rFonts w:ascii="Atyp Colt CZ" w:hAnsi="Atyp Colt CZ" w:cs="Calibri"/>
          <w:lang w:val="cs-CZ"/>
        </w:rPr>
        <w:t xml:space="preserve"> mil. Kč</w:t>
      </w:r>
      <w:r w:rsidR="008633E1" w:rsidRPr="5FAC94B9">
        <w:rPr>
          <w:rFonts w:ascii="Atyp Colt CZ" w:hAnsi="Atyp Colt CZ" w:cs="Calibri"/>
          <w:lang w:val="cs-CZ"/>
        </w:rPr>
        <w:t xml:space="preserve"> díky novým objednávkám </w:t>
      </w:r>
      <w:r w:rsidR="00235B7F" w:rsidRPr="5FAC94B9">
        <w:rPr>
          <w:rFonts w:ascii="Atyp Colt CZ" w:hAnsi="Atyp Colt CZ" w:cs="Calibri"/>
          <w:lang w:val="cs-CZ"/>
        </w:rPr>
        <w:t>v</w:t>
      </w:r>
      <w:r w:rsidR="008633E1" w:rsidRPr="5FAC94B9">
        <w:rPr>
          <w:rFonts w:ascii="Atyp Colt CZ" w:hAnsi="Atyp Colt CZ" w:cs="Calibri"/>
          <w:lang w:val="cs-CZ"/>
        </w:rPr>
        <w:t xml:space="preserve"> segmentu zbraní i munice</w:t>
      </w:r>
      <w:r w:rsidRPr="5FAC94B9">
        <w:rPr>
          <w:rFonts w:ascii="Atyp Colt CZ" w:hAnsi="Atyp Colt CZ" w:cs="Calibri"/>
          <w:lang w:val="cs-CZ"/>
        </w:rPr>
        <w:t xml:space="preserve">. Výnosy v Asii </w:t>
      </w:r>
      <w:r w:rsidR="008633E1" w:rsidRPr="5FAC94B9">
        <w:rPr>
          <w:rFonts w:ascii="Atyp Colt CZ" w:hAnsi="Atyp Colt CZ" w:cs="Calibri"/>
          <w:lang w:val="cs-CZ"/>
        </w:rPr>
        <w:t>za první tři měsíce roku 202</w:t>
      </w:r>
      <w:r w:rsidR="00FA7CFC" w:rsidRPr="5FAC94B9">
        <w:rPr>
          <w:rFonts w:ascii="Atyp Colt CZ" w:hAnsi="Atyp Colt CZ" w:cs="Calibri"/>
          <w:lang w:val="cs-CZ"/>
        </w:rPr>
        <w:t>6</w:t>
      </w:r>
      <w:r w:rsidR="008633E1" w:rsidRPr="5FAC94B9">
        <w:rPr>
          <w:rFonts w:ascii="Atyp Colt CZ" w:hAnsi="Atyp Colt CZ" w:cs="Calibri"/>
          <w:lang w:val="cs-CZ"/>
        </w:rPr>
        <w:t xml:space="preserve"> </w:t>
      </w:r>
      <w:r w:rsidR="00FA7CFC" w:rsidRPr="5FAC94B9">
        <w:rPr>
          <w:rFonts w:ascii="Atyp Colt CZ" w:hAnsi="Atyp Colt CZ" w:cs="Calibri"/>
          <w:lang w:val="cs-CZ"/>
        </w:rPr>
        <w:t>mírně poklesly</w:t>
      </w:r>
      <w:r w:rsidRPr="5FAC94B9">
        <w:rPr>
          <w:rFonts w:ascii="Atyp Colt CZ" w:hAnsi="Atyp Colt CZ" w:cs="Calibri"/>
          <w:lang w:val="cs-CZ"/>
        </w:rPr>
        <w:t xml:space="preserve"> o </w:t>
      </w:r>
      <w:r w:rsidR="00FA7CFC" w:rsidRPr="5FAC94B9">
        <w:rPr>
          <w:rFonts w:ascii="Atyp Colt CZ" w:hAnsi="Atyp Colt CZ" w:cs="Calibri"/>
          <w:lang w:val="cs-CZ"/>
        </w:rPr>
        <w:t>11,7</w:t>
      </w:r>
      <w:r w:rsidRPr="5FAC94B9">
        <w:rPr>
          <w:rFonts w:ascii="Atyp Colt CZ" w:hAnsi="Atyp Colt CZ" w:cs="Calibri"/>
          <w:lang w:val="cs-CZ"/>
        </w:rPr>
        <w:t xml:space="preserve"> % na </w:t>
      </w:r>
      <w:r w:rsidR="00FA7CFC" w:rsidRPr="5FAC94B9">
        <w:rPr>
          <w:rFonts w:ascii="Atyp Colt CZ" w:hAnsi="Atyp Colt CZ" w:cs="Calibri"/>
          <w:lang w:val="cs-CZ"/>
        </w:rPr>
        <w:t>270,9</w:t>
      </w:r>
      <w:r w:rsidRPr="5FAC94B9">
        <w:rPr>
          <w:rFonts w:ascii="Atyp Colt CZ" w:hAnsi="Atyp Colt CZ" w:cs="Calibri"/>
          <w:lang w:val="cs-CZ"/>
        </w:rPr>
        <w:t xml:space="preserve"> </w:t>
      </w:r>
      <w:r w:rsidR="00386FF0" w:rsidRPr="5FAC94B9">
        <w:rPr>
          <w:rFonts w:ascii="Atyp Colt CZ" w:hAnsi="Atyp Colt CZ" w:cs="Calibri"/>
          <w:lang w:val="cs-CZ"/>
        </w:rPr>
        <w:t>mil</w:t>
      </w:r>
      <w:r w:rsidRPr="5FAC94B9">
        <w:rPr>
          <w:rFonts w:ascii="Atyp Colt CZ" w:hAnsi="Atyp Colt CZ" w:cs="Calibri"/>
          <w:lang w:val="cs-CZ"/>
        </w:rPr>
        <w:t>. Kč</w:t>
      </w:r>
      <w:r w:rsidR="00645127" w:rsidRPr="5FAC94B9">
        <w:rPr>
          <w:rFonts w:ascii="Atyp Colt CZ" w:hAnsi="Atyp Colt CZ" w:cs="Calibri"/>
          <w:lang w:val="cs-CZ"/>
        </w:rPr>
        <w:t xml:space="preserve"> z důvodu sezónnosti </w:t>
      </w:r>
      <w:r w:rsidR="003D1E6D" w:rsidRPr="5FAC94B9">
        <w:rPr>
          <w:rFonts w:ascii="Atyp Colt CZ" w:hAnsi="Atyp Colt CZ" w:cs="Calibri"/>
          <w:lang w:val="cs-CZ"/>
        </w:rPr>
        <w:t>zakázek</w:t>
      </w:r>
      <w:r w:rsidR="00645127" w:rsidRPr="5FAC94B9">
        <w:rPr>
          <w:rFonts w:ascii="Atyp Colt CZ" w:hAnsi="Atyp Colt CZ" w:cs="Calibri"/>
          <w:lang w:val="cs-CZ"/>
        </w:rPr>
        <w:t>.</w:t>
      </w:r>
      <w:r w:rsidRPr="5FAC94B9">
        <w:rPr>
          <w:rFonts w:ascii="Atyp Colt CZ" w:hAnsi="Atyp Colt CZ" w:cs="Calibri"/>
          <w:lang w:val="cs-CZ"/>
        </w:rPr>
        <w:t xml:space="preserve"> </w:t>
      </w:r>
      <w:r w:rsidR="00690062" w:rsidRPr="5FAC94B9">
        <w:rPr>
          <w:rFonts w:ascii="Atyp Colt CZ" w:hAnsi="Atyp Colt CZ" w:cs="Calibri"/>
          <w:lang w:val="cs-CZ"/>
        </w:rPr>
        <w:t>V</w:t>
      </w:r>
      <w:r w:rsidR="00386FF0" w:rsidRPr="5FAC94B9">
        <w:rPr>
          <w:rFonts w:ascii="Atyp Colt CZ" w:hAnsi="Atyp Colt CZ" w:cs="Calibri"/>
          <w:lang w:val="cs-CZ"/>
        </w:rPr>
        <w:t xml:space="preserve"> region</w:t>
      </w:r>
      <w:r w:rsidR="00690062" w:rsidRPr="5FAC94B9">
        <w:rPr>
          <w:rFonts w:ascii="Atyp Colt CZ" w:hAnsi="Atyp Colt CZ" w:cs="Calibri"/>
          <w:lang w:val="cs-CZ"/>
        </w:rPr>
        <w:t>u</w:t>
      </w:r>
      <w:r w:rsidR="00386FF0" w:rsidRPr="5FAC94B9">
        <w:rPr>
          <w:rFonts w:ascii="Atyp Colt CZ" w:hAnsi="Atyp Colt CZ" w:cs="Calibri"/>
          <w:lang w:val="cs-CZ"/>
        </w:rPr>
        <w:t xml:space="preserve"> Latinská Amerika </w:t>
      </w:r>
      <w:r w:rsidR="00690062" w:rsidRPr="5FAC94B9">
        <w:rPr>
          <w:rFonts w:ascii="Atyp Colt CZ" w:hAnsi="Atyp Colt CZ" w:cs="Calibri"/>
          <w:lang w:val="cs-CZ"/>
        </w:rPr>
        <w:t xml:space="preserve">činily </w:t>
      </w:r>
      <w:r w:rsidR="003E7825" w:rsidRPr="5FAC94B9">
        <w:rPr>
          <w:rFonts w:ascii="Atyp Colt CZ" w:hAnsi="Atyp Colt CZ" w:cs="Calibri"/>
          <w:lang w:val="cs-CZ"/>
        </w:rPr>
        <w:t>výnosy</w:t>
      </w:r>
      <w:r w:rsidR="00386FF0" w:rsidRPr="5FAC94B9">
        <w:rPr>
          <w:rFonts w:ascii="Atyp Colt CZ" w:hAnsi="Atyp Colt CZ" w:cs="Calibri"/>
          <w:lang w:val="cs-CZ"/>
        </w:rPr>
        <w:t xml:space="preserve"> v </w:t>
      </w:r>
      <w:r w:rsidR="00690062" w:rsidRPr="5FAC94B9">
        <w:rPr>
          <w:rFonts w:ascii="Atyp Colt CZ" w:hAnsi="Atyp Colt CZ" w:cs="Calibri"/>
          <w:lang w:val="cs-CZ"/>
        </w:rPr>
        <w:t>prvních třech měsících roku 202</w:t>
      </w:r>
      <w:r w:rsidR="00FA7CFC" w:rsidRPr="5FAC94B9">
        <w:rPr>
          <w:rFonts w:ascii="Atyp Colt CZ" w:hAnsi="Atyp Colt CZ" w:cs="Calibri"/>
          <w:lang w:val="cs-CZ"/>
        </w:rPr>
        <w:t>6</w:t>
      </w:r>
      <w:r w:rsidR="28ECDFA3" w:rsidRPr="5FAC94B9">
        <w:rPr>
          <w:rFonts w:ascii="Atyp Colt CZ" w:hAnsi="Atyp Colt CZ" w:cs="Calibri"/>
          <w:lang w:val="cs-CZ"/>
        </w:rPr>
        <w:t xml:space="preserve"> celkem</w:t>
      </w:r>
      <w:r w:rsidR="00690062" w:rsidRPr="5FAC94B9">
        <w:rPr>
          <w:rFonts w:ascii="Atyp Colt CZ" w:hAnsi="Atyp Colt CZ" w:cs="Calibri"/>
          <w:lang w:val="cs-CZ"/>
        </w:rPr>
        <w:t xml:space="preserve"> </w:t>
      </w:r>
      <w:r w:rsidR="00FA7CFC" w:rsidRPr="5FAC94B9">
        <w:rPr>
          <w:rFonts w:ascii="Atyp Colt CZ" w:hAnsi="Atyp Colt CZ" w:cs="Calibri"/>
          <w:lang w:val="cs-CZ"/>
        </w:rPr>
        <w:t>122,8</w:t>
      </w:r>
      <w:r w:rsidR="00386FF0" w:rsidRPr="5FAC94B9">
        <w:rPr>
          <w:rFonts w:ascii="Atyp Colt CZ" w:hAnsi="Atyp Colt CZ" w:cs="Calibri"/>
          <w:lang w:val="cs-CZ"/>
        </w:rPr>
        <w:t xml:space="preserve"> mil. Kč, meziročně o </w:t>
      </w:r>
      <w:r w:rsidR="00FA7CFC" w:rsidRPr="5FAC94B9">
        <w:rPr>
          <w:rFonts w:ascii="Atyp Colt CZ" w:hAnsi="Atyp Colt CZ" w:cs="Calibri"/>
          <w:lang w:val="cs-CZ"/>
        </w:rPr>
        <w:t>18,0</w:t>
      </w:r>
      <w:r w:rsidR="00386FF0" w:rsidRPr="5FAC94B9">
        <w:rPr>
          <w:rFonts w:ascii="Atyp Colt CZ" w:hAnsi="Atyp Colt CZ" w:cs="Calibri"/>
          <w:lang w:val="cs-CZ"/>
        </w:rPr>
        <w:t xml:space="preserve"> % </w:t>
      </w:r>
      <w:r w:rsidR="00690062" w:rsidRPr="5FAC94B9">
        <w:rPr>
          <w:rFonts w:ascii="Atyp Colt CZ" w:hAnsi="Atyp Colt CZ" w:cs="Calibri"/>
          <w:lang w:val="cs-CZ"/>
        </w:rPr>
        <w:t>méně</w:t>
      </w:r>
      <w:r w:rsidR="00386FF0" w:rsidRPr="5FAC94B9">
        <w:rPr>
          <w:rFonts w:ascii="Atyp Colt CZ" w:hAnsi="Atyp Colt CZ" w:cs="Calibri"/>
          <w:lang w:val="cs-CZ"/>
        </w:rPr>
        <w:t xml:space="preserve">. </w:t>
      </w:r>
      <w:r w:rsidRPr="5FAC94B9">
        <w:rPr>
          <w:rFonts w:ascii="Atyp Colt CZ" w:hAnsi="Atyp Colt CZ" w:cs="Calibri"/>
          <w:lang w:val="cs-CZ"/>
        </w:rPr>
        <w:t xml:space="preserve">Výnosy z prodejů do ostatních částí světa dosáhly </w:t>
      </w:r>
      <w:r w:rsidR="00690062" w:rsidRPr="5FAC94B9">
        <w:rPr>
          <w:rFonts w:ascii="Atyp Colt CZ" w:hAnsi="Atyp Colt CZ" w:cs="Calibri"/>
          <w:lang w:val="cs-CZ"/>
        </w:rPr>
        <w:t>za první čtvrtletí roku 202</w:t>
      </w:r>
      <w:r w:rsidR="00FA7CFC" w:rsidRPr="5FAC94B9">
        <w:rPr>
          <w:rFonts w:ascii="Atyp Colt CZ" w:hAnsi="Atyp Colt CZ" w:cs="Calibri"/>
          <w:lang w:val="cs-CZ"/>
        </w:rPr>
        <w:t>6</w:t>
      </w:r>
      <w:r w:rsidR="00690062" w:rsidRPr="5FAC94B9">
        <w:rPr>
          <w:rFonts w:ascii="Atyp Colt CZ" w:hAnsi="Atyp Colt CZ" w:cs="Calibri"/>
          <w:lang w:val="cs-CZ"/>
        </w:rPr>
        <w:t xml:space="preserve"> </w:t>
      </w:r>
      <w:r w:rsidRPr="5FAC94B9">
        <w:rPr>
          <w:rFonts w:ascii="Atyp Colt CZ" w:hAnsi="Atyp Colt CZ" w:cs="Calibri"/>
          <w:lang w:val="cs-CZ"/>
        </w:rPr>
        <w:t xml:space="preserve">hodnoty </w:t>
      </w:r>
      <w:r w:rsidR="00FA7CFC" w:rsidRPr="5FAC94B9">
        <w:rPr>
          <w:rFonts w:ascii="Atyp Colt CZ" w:hAnsi="Atyp Colt CZ" w:cs="Calibri"/>
          <w:lang w:val="cs-CZ"/>
        </w:rPr>
        <w:t>19,6</w:t>
      </w:r>
      <w:r w:rsidRPr="5FAC94B9">
        <w:rPr>
          <w:rFonts w:ascii="Atyp Colt CZ" w:hAnsi="Atyp Colt CZ" w:cs="Calibri"/>
          <w:lang w:val="cs-CZ"/>
        </w:rPr>
        <w:t xml:space="preserve"> mil. Kč</w:t>
      </w:r>
      <w:r w:rsidR="00690062" w:rsidRPr="5FAC94B9">
        <w:rPr>
          <w:rFonts w:ascii="Atyp Colt CZ" w:hAnsi="Atyp Colt CZ" w:cs="Calibri"/>
          <w:lang w:val="cs-CZ"/>
        </w:rPr>
        <w:t>,</w:t>
      </w:r>
      <w:r w:rsidRPr="5FAC94B9">
        <w:rPr>
          <w:rFonts w:ascii="Atyp Colt CZ" w:hAnsi="Atyp Colt CZ" w:cs="Calibri"/>
          <w:lang w:val="cs-CZ"/>
        </w:rPr>
        <w:t xml:space="preserve"> meziročně o </w:t>
      </w:r>
      <w:r w:rsidR="00FA7CFC" w:rsidRPr="5FAC94B9">
        <w:rPr>
          <w:rFonts w:ascii="Atyp Colt CZ" w:hAnsi="Atyp Colt CZ" w:cs="Calibri"/>
          <w:lang w:val="cs-CZ"/>
        </w:rPr>
        <w:t>15,7</w:t>
      </w:r>
      <w:r w:rsidRPr="5FAC94B9">
        <w:rPr>
          <w:rFonts w:ascii="Atyp Colt CZ" w:hAnsi="Atyp Colt CZ" w:cs="Calibri"/>
          <w:lang w:val="cs-CZ"/>
        </w:rPr>
        <w:t xml:space="preserve"> %</w:t>
      </w:r>
      <w:r w:rsidR="00690062" w:rsidRPr="5FAC94B9">
        <w:rPr>
          <w:rFonts w:ascii="Atyp Colt CZ" w:hAnsi="Atyp Colt CZ" w:cs="Calibri"/>
          <w:lang w:val="cs-CZ"/>
        </w:rPr>
        <w:t xml:space="preserve"> </w:t>
      </w:r>
      <w:r w:rsidR="00FA7CFC" w:rsidRPr="5FAC94B9">
        <w:rPr>
          <w:rFonts w:ascii="Atyp Colt CZ" w:hAnsi="Atyp Colt CZ" w:cs="Calibri"/>
          <w:lang w:val="cs-CZ"/>
        </w:rPr>
        <w:t>méně</w:t>
      </w:r>
      <w:r w:rsidRPr="5FAC94B9">
        <w:rPr>
          <w:rFonts w:ascii="Atyp Colt CZ" w:hAnsi="Atyp Colt CZ" w:cs="Calibri"/>
          <w:lang w:val="cs-CZ"/>
        </w:rPr>
        <w:t>.</w:t>
      </w:r>
    </w:p>
    <w:p w14:paraId="0CF9B820" w14:textId="77777777" w:rsidR="00C3747D" w:rsidRPr="00027958" w:rsidRDefault="00C3747D">
      <w:pPr>
        <w:spacing w:before="0" w:after="0"/>
        <w:jc w:val="left"/>
        <w:rPr>
          <w:rFonts w:eastAsiaTheme="minorHAnsi" w:cs="Calibri"/>
          <w:szCs w:val="20"/>
        </w:rPr>
      </w:pPr>
    </w:p>
    <w:p w14:paraId="1DE0E5AF" w14:textId="43D97715" w:rsidR="004813A9" w:rsidRPr="00027958" w:rsidRDefault="004813A9" w:rsidP="00337B90">
      <w:pPr>
        <w:spacing w:before="240" w:after="0"/>
        <w:jc w:val="left"/>
        <w:rPr>
          <w:rFonts w:eastAsia="Calibri"/>
          <w:b/>
          <w:bCs/>
          <w:szCs w:val="20"/>
        </w:rPr>
      </w:pPr>
      <w:r w:rsidRPr="00027958">
        <w:rPr>
          <w:rFonts w:eastAsia="Calibri"/>
          <w:b/>
          <w:bCs/>
          <w:szCs w:val="20"/>
        </w:rPr>
        <w:t>Příjmy Skupiny ve sledovaných obdobích podle regionů:</w:t>
      </w:r>
    </w:p>
    <w:tbl>
      <w:tblPr>
        <w:tblW w:w="4999" w:type="pct"/>
        <w:tblLook w:val="04A0" w:firstRow="1" w:lastRow="0" w:firstColumn="1" w:lastColumn="0" w:noHBand="0" w:noVBand="1"/>
      </w:tblPr>
      <w:tblGrid>
        <w:gridCol w:w="2339"/>
        <w:gridCol w:w="1789"/>
        <w:gridCol w:w="1787"/>
        <w:gridCol w:w="1100"/>
        <w:gridCol w:w="1771"/>
      </w:tblGrid>
      <w:tr w:rsidR="00C25F4A" w:rsidRPr="00027958" w14:paraId="42AC4140" w14:textId="77777777" w:rsidTr="4B2C601D">
        <w:trPr>
          <w:trHeight w:val="428"/>
        </w:trPr>
        <w:tc>
          <w:tcPr>
            <w:tcW w:w="1331" w:type="pct"/>
          </w:tcPr>
          <w:p w14:paraId="57D8277D" w14:textId="77777777" w:rsidR="00C25F4A" w:rsidRPr="00027958" w:rsidRDefault="00C25F4A" w:rsidP="00C25F4A">
            <w:pPr>
              <w:pStyle w:val="ClientNormal"/>
              <w:spacing w:before="120"/>
              <w:rPr>
                <w:rFonts w:ascii="Atyp Colt CZ" w:eastAsia="Calibri" w:hAnsi="Atyp Colt CZ"/>
                <w:szCs w:val="20"/>
                <w:lang w:val="cs-CZ"/>
              </w:rPr>
            </w:pPr>
            <w:r w:rsidRPr="00027958">
              <w:rPr>
                <w:rFonts w:ascii="Atyp Colt CZ" w:eastAsia="Calibri" w:hAnsi="Atyp Colt CZ"/>
                <w:szCs w:val="20"/>
                <w:lang w:val="cs-CZ"/>
              </w:rPr>
              <w:t>V tis. Kč</w:t>
            </w:r>
          </w:p>
        </w:tc>
        <w:tc>
          <w:tcPr>
            <w:tcW w:w="1018" w:type="pct"/>
            <w:vAlign w:val="center"/>
          </w:tcPr>
          <w:p w14:paraId="1A6FDA1A" w14:textId="137D92C5" w:rsidR="00C25F4A" w:rsidRPr="00027958" w:rsidRDefault="00C25F4A" w:rsidP="00C25F4A">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Za 1. čtvrtletí 202</w:t>
            </w:r>
            <w:r w:rsidR="007C7737" w:rsidRPr="00027958">
              <w:rPr>
                <w:rFonts w:ascii="Atyp Colt CZ" w:eastAsia="Calibri" w:hAnsi="Atyp Colt CZ"/>
                <w:szCs w:val="20"/>
                <w:lang w:val="cs-CZ"/>
              </w:rPr>
              <w:t>6</w:t>
            </w:r>
          </w:p>
        </w:tc>
        <w:tc>
          <w:tcPr>
            <w:tcW w:w="1017" w:type="pct"/>
            <w:vAlign w:val="center"/>
          </w:tcPr>
          <w:p w14:paraId="14F31711" w14:textId="285A55F5" w:rsidR="00C25F4A" w:rsidRPr="00027958" w:rsidRDefault="00C25F4A" w:rsidP="00C25F4A">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Za 1. čtvrtletí 2025</w:t>
            </w:r>
          </w:p>
        </w:tc>
        <w:tc>
          <w:tcPr>
            <w:tcW w:w="626" w:type="pct"/>
            <w:vAlign w:val="center"/>
          </w:tcPr>
          <w:p w14:paraId="65267367" w14:textId="77777777" w:rsidR="00C25F4A" w:rsidRPr="00027958" w:rsidRDefault="00C25F4A" w:rsidP="00C25F4A">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Změna v %</w:t>
            </w:r>
          </w:p>
        </w:tc>
        <w:tc>
          <w:tcPr>
            <w:tcW w:w="1008" w:type="pct"/>
          </w:tcPr>
          <w:p w14:paraId="0F2612CF" w14:textId="464F2BE2" w:rsidR="00C25F4A" w:rsidRPr="00027958" w:rsidRDefault="00C25F4A" w:rsidP="00C25F4A">
            <w:pPr>
              <w:pStyle w:val="ClientNormal"/>
              <w:spacing w:before="120"/>
              <w:jc w:val="right"/>
              <w:rPr>
                <w:rFonts w:ascii="Atyp Colt CZ" w:eastAsia="Calibri" w:hAnsi="Atyp Colt CZ"/>
                <w:i/>
                <w:iCs/>
                <w:szCs w:val="20"/>
                <w:lang w:val="cs-CZ"/>
              </w:rPr>
            </w:pPr>
            <w:r w:rsidRPr="00027958">
              <w:rPr>
                <w:rFonts w:ascii="Atyp Colt CZ" w:eastAsia="Calibri" w:hAnsi="Atyp Colt CZ"/>
                <w:i/>
                <w:iCs/>
                <w:szCs w:val="20"/>
                <w:lang w:val="cs-CZ"/>
              </w:rPr>
              <w:t>Podíl na celkových výnosech v %</w:t>
            </w:r>
          </w:p>
        </w:tc>
      </w:tr>
      <w:tr w:rsidR="007C7737" w:rsidRPr="00027958" w14:paraId="0228D836" w14:textId="77777777" w:rsidTr="4B2C601D">
        <w:trPr>
          <w:trHeight w:val="283"/>
        </w:trPr>
        <w:tc>
          <w:tcPr>
            <w:tcW w:w="1331" w:type="pct"/>
            <w:vAlign w:val="bottom"/>
          </w:tcPr>
          <w:p w14:paraId="65501AFA" w14:textId="74D5E8A0" w:rsidR="007C7737" w:rsidRPr="00027958" w:rsidRDefault="007C7737" w:rsidP="007C7737">
            <w:pPr>
              <w:pStyle w:val="ClientNormal"/>
              <w:tabs>
                <w:tab w:val="left" w:leader="dot" w:pos="5264"/>
              </w:tabs>
              <w:spacing w:before="120"/>
              <w:rPr>
                <w:rFonts w:ascii="Atyp Colt CZ" w:eastAsia="Calibri" w:hAnsi="Atyp Colt CZ"/>
                <w:lang w:val="cs-CZ"/>
              </w:rPr>
            </w:pPr>
            <w:r w:rsidRPr="6035BEE0">
              <w:rPr>
                <w:rFonts w:ascii="Atyp Colt CZ" w:eastAsia="Calibri" w:hAnsi="Atyp Colt CZ"/>
                <w:lang w:val="cs-CZ"/>
              </w:rPr>
              <w:t>ČR</w:t>
            </w:r>
            <w:r w:rsidR="38264A9A" w:rsidRPr="6035BEE0">
              <w:rPr>
                <w:rFonts w:ascii="Atyp Colt CZ" w:eastAsia="Calibri" w:hAnsi="Atyp Colt CZ"/>
                <w:lang w:val="cs-CZ"/>
              </w:rPr>
              <w:t xml:space="preserve"> </w:t>
            </w:r>
          </w:p>
        </w:tc>
        <w:tc>
          <w:tcPr>
            <w:tcW w:w="1018" w:type="pct"/>
            <w:vAlign w:val="bottom"/>
          </w:tcPr>
          <w:p w14:paraId="4D27C3C8" w14:textId="75E78BA4"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1 046 611</w:t>
            </w:r>
          </w:p>
        </w:tc>
        <w:tc>
          <w:tcPr>
            <w:tcW w:w="1017" w:type="pct"/>
            <w:vAlign w:val="bottom"/>
          </w:tcPr>
          <w:p w14:paraId="48041D47" w14:textId="2CA06089"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532 146</w:t>
            </w:r>
          </w:p>
        </w:tc>
        <w:tc>
          <w:tcPr>
            <w:tcW w:w="626" w:type="pct"/>
            <w:vAlign w:val="bottom"/>
          </w:tcPr>
          <w:p w14:paraId="43FA5CED" w14:textId="7FAD1E60"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96,7</w:t>
            </w:r>
            <w:r w:rsidR="64EB93FC"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76CBC3F0" w14:textId="2B40C89A"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14,3 %</w:t>
            </w:r>
          </w:p>
        </w:tc>
      </w:tr>
      <w:tr w:rsidR="007C7737" w:rsidRPr="00027958" w14:paraId="77AFC882" w14:textId="77777777" w:rsidTr="4B2C601D">
        <w:trPr>
          <w:trHeight w:val="283"/>
        </w:trPr>
        <w:tc>
          <w:tcPr>
            <w:tcW w:w="1331" w:type="pct"/>
            <w:vAlign w:val="bottom"/>
          </w:tcPr>
          <w:p w14:paraId="73FB3335"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USA</w:t>
            </w:r>
          </w:p>
        </w:tc>
        <w:tc>
          <w:tcPr>
            <w:tcW w:w="1018" w:type="pct"/>
            <w:vAlign w:val="bottom"/>
          </w:tcPr>
          <w:p w14:paraId="06E85CD0" w14:textId="4123219D"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1 656 124</w:t>
            </w:r>
          </w:p>
        </w:tc>
        <w:tc>
          <w:tcPr>
            <w:tcW w:w="1017" w:type="pct"/>
            <w:vAlign w:val="bottom"/>
          </w:tcPr>
          <w:p w14:paraId="27AB5D58" w14:textId="1FA43B04"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2 408 856</w:t>
            </w:r>
          </w:p>
        </w:tc>
        <w:tc>
          <w:tcPr>
            <w:tcW w:w="626" w:type="pct"/>
            <w:vAlign w:val="bottom"/>
          </w:tcPr>
          <w:p w14:paraId="1B8B3841" w14:textId="2512E5CB"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-31,2</w:t>
            </w:r>
            <w:r w:rsidR="38E20ADE"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46F9C963" w14:textId="6F5C7590"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22,6 %</w:t>
            </w:r>
          </w:p>
        </w:tc>
      </w:tr>
      <w:tr w:rsidR="007C7737" w:rsidRPr="00027958" w14:paraId="2EDB675C" w14:textId="77777777" w:rsidTr="4B2C601D">
        <w:trPr>
          <w:trHeight w:val="283"/>
        </w:trPr>
        <w:tc>
          <w:tcPr>
            <w:tcW w:w="1331" w:type="pct"/>
            <w:vAlign w:val="bottom"/>
          </w:tcPr>
          <w:p w14:paraId="2DAC127F"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Kanada</w:t>
            </w:r>
          </w:p>
        </w:tc>
        <w:tc>
          <w:tcPr>
            <w:tcW w:w="1018" w:type="pct"/>
            <w:vAlign w:val="bottom"/>
          </w:tcPr>
          <w:p w14:paraId="3D4E61F0" w14:textId="0FAE5687"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906 722</w:t>
            </w:r>
          </w:p>
        </w:tc>
        <w:tc>
          <w:tcPr>
            <w:tcW w:w="1017" w:type="pct"/>
            <w:vAlign w:val="bottom"/>
          </w:tcPr>
          <w:p w14:paraId="59802B29" w14:textId="7A78DAB9"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201 870</w:t>
            </w:r>
          </w:p>
        </w:tc>
        <w:tc>
          <w:tcPr>
            <w:tcW w:w="626" w:type="pct"/>
            <w:vAlign w:val="bottom"/>
          </w:tcPr>
          <w:p w14:paraId="16C978D1" w14:textId="6AE3950E"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349,2</w:t>
            </w:r>
            <w:r w:rsidR="02A0F28F"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4A2CAC50" w14:textId="4917094D"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12,4 %</w:t>
            </w:r>
          </w:p>
        </w:tc>
      </w:tr>
      <w:tr w:rsidR="007C7737" w:rsidRPr="00027958" w14:paraId="5D303344" w14:textId="77777777" w:rsidTr="4B2C601D">
        <w:trPr>
          <w:trHeight w:val="283"/>
        </w:trPr>
        <w:tc>
          <w:tcPr>
            <w:tcW w:w="1331" w:type="pct"/>
            <w:vAlign w:val="bottom"/>
          </w:tcPr>
          <w:p w14:paraId="3218F649"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Evropa (vyjma ČR)</w:t>
            </w:r>
          </w:p>
        </w:tc>
        <w:tc>
          <w:tcPr>
            <w:tcW w:w="1018" w:type="pct"/>
            <w:vAlign w:val="bottom"/>
          </w:tcPr>
          <w:p w14:paraId="02AD1B66" w14:textId="0704906D"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3 222 960</w:t>
            </w:r>
          </w:p>
        </w:tc>
        <w:tc>
          <w:tcPr>
            <w:tcW w:w="1017" w:type="pct"/>
            <w:vAlign w:val="bottom"/>
          </w:tcPr>
          <w:p w14:paraId="3DD07F36" w14:textId="096BD5FC"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1 825 055</w:t>
            </w:r>
          </w:p>
        </w:tc>
        <w:tc>
          <w:tcPr>
            <w:tcW w:w="626" w:type="pct"/>
            <w:vAlign w:val="bottom"/>
          </w:tcPr>
          <w:p w14:paraId="29A39A07" w14:textId="721FB363"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76,6</w:t>
            </w:r>
            <w:r w:rsidR="02173F6B"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0458C953" w14:textId="13CCAFB5"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44,0 %</w:t>
            </w:r>
          </w:p>
        </w:tc>
      </w:tr>
      <w:tr w:rsidR="007C7737" w:rsidRPr="00027958" w14:paraId="13B165E7" w14:textId="77777777" w:rsidTr="4B2C601D">
        <w:trPr>
          <w:trHeight w:val="283"/>
        </w:trPr>
        <w:tc>
          <w:tcPr>
            <w:tcW w:w="1331" w:type="pct"/>
            <w:vAlign w:val="bottom"/>
          </w:tcPr>
          <w:p w14:paraId="1D2BA7CC"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Afrika</w:t>
            </w:r>
          </w:p>
        </w:tc>
        <w:tc>
          <w:tcPr>
            <w:tcW w:w="1018" w:type="pct"/>
            <w:vAlign w:val="bottom"/>
          </w:tcPr>
          <w:p w14:paraId="2ED10CC2" w14:textId="149D822A"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71 733</w:t>
            </w:r>
          </w:p>
        </w:tc>
        <w:tc>
          <w:tcPr>
            <w:tcW w:w="1017" w:type="pct"/>
            <w:vAlign w:val="bottom"/>
          </w:tcPr>
          <w:p w14:paraId="4255FC70" w14:textId="08FCD1E2"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64 440</w:t>
            </w:r>
          </w:p>
        </w:tc>
        <w:tc>
          <w:tcPr>
            <w:tcW w:w="626" w:type="pct"/>
            <w:vAlign w:val="bottom"/>
          </w:tcPr>
          <w:p w14:paraId="3ED5B789" w14:textId="395A26CC"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11,3</w:t>
            </w:r>
            <w:r w:rsidR="02173F6B"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27EEEAC6" w14:textId="2E7D7956"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1,0 %</w:t>
            </w:r>
          </w:p>
        </w:tc>
      </w:tr>
      <w:tr w:rsidR="007C7737" w:rsidRPr="00027958" w14:paraId="0B2F14AC" w14:textId="77777777" w:rsidTr="4B2C601D">
        <w:trPr>
          <w:trHeight w:val="283"/>
        </w:trPr>
        <w:tc>
          <w:tcPr>
            <w:tcW w:w="1331" w:type="pct"/>
            <w:vAlign w:val="bottom"/>
          </w:tcPr>
          <w:p w14:paraId="179F1CB2"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Asie</w:t>
            </w:r>
          </w:p>
        </w:tc>
        <w:tc>
          <w:tcPr>
            <w:tcW w:w="1018" w:type="pct"/>
            <w:vAlign w:val="bottom"/>
          </w:tcPr>
          <w:p w14:paraId="4E1CA0F8" w14:textId="3A318CEB"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270 911</w:t>
            </w:r>
          </w:p>
        </w:tc>
        <w:tc>
          <w:tcPr>
            <w:tcW w:w="1017" w:type="pct"/>
            <w:vAlign w:val="bottom"/>
          </w:tcPr>
          <w:p w14:paraId="7037D170" w14:textId="660C7A74" w:rsidR="007C7737" w:rsidRPr="00027958" w:rsidRDefault="007C7737" w:rsidP="007C7737">
            <w:pPr>
              <w:pStyle w:val="ClientNormal"/>
              <w:spacing w:before="120"/>
              <w:jc w:val="right"/>
              <w:rPr>
                <w:rFonts w:ascii="Atyp Colt CZ" w:hAnsi="Atyp Colt CZ"/>
                <w:bCs/>
                <w:szCs w:val="20"/>
                <w:lang w:val="en-US"/>
              </w:rPr>
            </w:pPr>
            <w:r w:rsidRPr="00027958">
              <w:rPr>
                <w:rFonts w:ascii="Atyp Colt CZ" w:hAnsi="Atyp Colt CZ" w:cs="Calibri"/>
                <w:color w:val="000000"/>
                <w:szCs w:val="20"/>
                <w:lang w:val="en-US"/>
              </w:rPr>
              <w:t>306 908</w:t>
            </w:r>
          </w:p>
        </w:tc>
        <w:tc>
          <w:tcPr>
            <w:tcW w:w="626" w:type="pct"/>
            <w:vAlign w:val="bottom"/>
          </w:tcPr>
          <w:p w14:paraId="410826BE" w14:textId="42FCD158" w:rsidR="007C7737" w:rsidRPr="00027958" w:rsidRDefault="2295A0DE" w:rsidP="4B2C601D">
            <w:pPr>
              <w:pStyle w:val="ClientNormal"/>
              <w:spacing w:before="120"/>
              <w:jc w:val="right"/>
              <w:rPr>
                <w:rFonts w:ascii="Atyp Colt CZ" w:hAnsi="Atyp Colt CZ" w:cs="Calibri"/>
                <w:color w:val="000000"/>
                <w:lang w:val="cs-CZ"/>
              </w:rPr>
            </w:pPr>
            <w:r w:rsidRPr="4B2C601D">
              <w:rPr>
                <w:rFonts w:ascii="Atyp Colt CZ" w:hAnsi="Atyp Colt CZ" w:cs="Calibri"/>
                <w:color w:val="000000" w:themeColor="text1"/>
              </w:rPr>
              <w:t>-11,7</w:t>
            </w:r>
            <w:r w:rsidR="329A9C29"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70C330AB" w14:textId="1EA4B621" w:rsidR="007C7737" w:rsidRPr="00027958" w:rsidRDefault="007C7737" w:rsidP="007C7737">
            <w:pPr>
              <w:pStyle w:val="ClientNormal"/>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3,7 %</w:t>
            </w:r>
          </w:p>
        </w:tc>
      </w:tr>
      <w:tr w:rsidR="007C7737" w:rsidRPr="00027958" w14:paraId="1899EAFC" w14:textId="77777777" w:rsidTr="4B2C601D">
        <w:trPr>
          <w:trHeight w:val="283"/>
        </w:trPr>
        <w:tc>
          <w:tcPr>
            <w:tcW w:w="1331" w:type="pct"/>
            <w:vAlign w:val="bottom"/>
          </w:tcPr>
          <w:p w14:paraId="79DDA314" w14:textId="6A828752"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Latinská Amerika</w:t>
            </w:r>
          </w:p>
        </w:tc>
        <w:tc>
          <w:tcPr>
            <w:tcW w:w="1018" w:type="pct"/>
            <w:vAlign w:val="bottom"/>
          </w:tcPr>
          <w:p w14:paraId="46C6211D" w14:textId="54462577" w:rsidR="007C7737" w:rsidRPr="00027958" w:rsidRDefault="007C7737" w:rsidP="007C7737">
            <w:pPr>
              <w:pStyle w:val="ClientNormal"/>
              <w:spacing w:before="120"/>
              <w:jc w:val="right"/>
              <w:rPr>
                <w:rFonts w:ascii="Atyp Colt CZ" w:hAnsi="Atyp Colt CZ" w:cs="Calibri"/>
                <w:szCs w:val="20"/>
                <w:lang w:val="cs-CZ"/>
              </w:rPr>
            </w:pPr>
            <w:r w:rsidRPr="00027958">
              <w:rPr>
                <w:rFonts w:ascii="Atyp Colt CZ" w:hAnsi="Atyp Colt CZ" w:cs="Calibri"/>
                <w:color w:val="000000"/>
                <w:szCs w:val="20"/>
              </w:rPr>
              <w:t>122 811</w:t>
            </w:r>
          </w:p>
        </w:tc>
        <w:tc>
          <w:tcPr>
            <w:tcW w:w="1017" w:type="pct"/>
            <w:vAlign w:val="bottom"/>
          </w:tcPr>
          <w:p w14:paraId="201E8598" w14:textId="07C2AC8E" w:rsidR="007C7737" w:rsidRPr="00027958" w:rsidRDefault="007C7737" w:rsidP="007C7737">
            <w:pPr>
              <w:pStyle w:val="ClientNormal"/>
              <w:spacing w:before="120"/>
              <w:jc w:val="right"/>
              <w:rPr>
                <w:rFonts w:ascii="Atyp Colt CZ" w:hAnsi="Atyp Colt CZ" w:cs="Calibri"/>
                <w:color w:val="000000"/>
                <w:szCs w:val="20"/>
                <w:lang w:val="en-US"/>
              </w:rPr>
            </w:pPr>
            <w:r w:rsidRPr="00027958">
              <w:rPr>
                <w:rFonts w:ascii="Atyp Colt CZ" w:hAnsi="Atyp Colt CZ" w:cs="Calibri"/>
                <w:color w:val="000000"/>
                <w:szCs w:val="20"/>
                <w:lang w:val="en-US"/>
              </w:rPr>
              <w:t>149 751</w:t>
            </w:r>
          </w:p>
        </w:tc>
        <w:tc>
          <w:tcPr>
            <w:tcW w:w="626" w:type="pct"/>
            <w:vAlign w:val="bottom"/>
          </w:tcPr>
          <w:p w14:paraId="74D5C5FE" w14:textId="277D50A0" w:rsidR="007C7737" w:rsidRPr="00027958" w:rsidRDefault="2295A0DE" w:rsidP="4B2C601D">
            <w:pPr>
              <w:pStyle w:val="ClientNormal"/>
              <w:spacing w:before="120"/>
              <w:jc w:val="right"/>
              <w:rPr>
                <w:rFonts w:ascii="Atyp Colt CZ" w:hAnsi="Atyp Colt CZ"/>
              </w:rPr>
            </w:pPr>
            <w:r w:rsidRPr="4B2C601D">
              <w:rPr>
                <w:rFonts w:ascii="Atyp Colt CZ" w:hAnsi="Atyp Colt CZ" w:cs="Calibri"/>
                <w:color w:val="000000" w:themeColor="text1"/>
              </w:rPr>
              <w:t>-18,0</w:t>
            </w:r>
            <w:r w:rsidR="329A9C29"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481995F0" w14:textId="2FEBDA52" w:rsidR="007C7737" w:rsidRPr="00027958" w:rsidRDefault="007C7737" w:rsidP="007C7737">
            <w:pPr>
              <w:pStyle w:val="ClientNormal"/>
              <w:spacing w:before="120"/>
              <w:jc w:val="right"/>
              <w:rPr>
                <w:rFonts w:ascii="Atyp Colt CZ" w:hAnsi="Atyp Colt CZ"/>
                <w:i/>
                <w:iCs/>
                <w:szCs w:val="20"/>
              </w:rPr>
            </w:pPr>
            <w:r w:rsidRPr="00027958">
              <w:rPr>
                <w:rFonts w:ascii="Atyp Colt CZ" w:hAnsi="Atyp Colt CZ" w:cs="Calibri"/>
                <w:i/>
                <w:iCs/>
                <w:color w:val="000000"/>
                <w:szCs w:val="20"/>
              </w:rPr>
              <w:t>1,7 %</w:t>
            </w:r>
          </w:p>
        </w:tc>
      </w:tr>
      <w:tr w:rsidR="007C7737" w:rsidRPr="00027958" w14:paraId="4AE7DC37" w14:textId="77777777" w:rsidTr="4B2C601D">
        <w:trPr>
          <w:trHeight w:val="283"/>
        </w:trPr>
        <w:tc>
          <w:tcPr>
            <w:tcW w:w="1331" w:type="pct"/>
            <w:vAlign w:val="bottom"/>
          </w:tcPr>
          <w:p w14:paraId="2838CA66" w14:textId="77777777" w:rsidR="007C7737" w:rsidRPr="00027958" w:rsidRDefault="007C7737" w:rsidP="007C7737">
            <w:pPr>
              <w:pStyle w:val="ClientNormal"/>
              <w:tabs>
                <w:tab w:val="left" w:leader="dot" w:pos="5264"/>
              </w:tabs>
              <w:spacing w:before="120"/>
              <w:rPr>
                <w:rFonts w:ascii="Atyp Colt CZ" w:eastAsia="Calibri" w:hAnsi="Atyp Colt CZ"/>
                <w:szCs w:val="20"/>
                <w:lang w:val="cs-CZ"/>
              </w:rPr>
            </w:pPr>
            <w:r w:rsidRPr="00027958">
              <w:rPr>
                <w:rFonts w:ascii="Atyp Colt CZ" w:eastAsia="Calibri" w:hAnsi="Atyp Colt CZ"/>
                <w:szCs w:val="20"/>
                <w:lang w:val="cs-CZ"/>
              </w:rPr>
              <w:t>Ostatní</w:t>
            </w:r>
          </w:p>
        </w:tc>
        <w:tc>
          <w:tcPr>
            <w:tcW w:w="1018" w:type="pct"/>
            <w:vAlign w:val="bottom"/>
          </w:tcPr>
          <w:p w14:paraId="25B98293" w14:textId="13C3D681" w:rsidR="007C7737" w:rsidRPr="00027958" w:rsidRDefault="007C7737" w:rsidP="007C7737">
            <w:pPr>
              <w:pStyle w:val="ClientNormal"/>
              <w:pBdr>
                <w:bottom w:val="single" w:sz="4" w:space="1" w:color="auto"/>
              </w:pBdr>
              <w:spacing w:before="120"/>
              <w:jc w:val="right"/>
              <w:rPr>
                <w:rFonts w:ascii="Atyp Colt CZ" w:hAnsi="Atyp Colt CZ" w:cs="Calibri"/>
                <w:szCs w:val="20"/>
                <w:lang w:val="cs-CZ"/>
              </w:rPr>
            </w:pPr>
            <w:r w:rsidRPr="00027958">
              <w:rPr>
                <w:rFonts w:ascii="Atyp Colt CZ" w:hAnsi="Atyp Colt CZ" w:cs="Calibri"/>
                <w:color w:val="000000"/>
                <w:szCs w:val="20"/>
              </w:rPr>
              <w:t>19 557</w:t>
            </w:r>
          </w:p>
        </w:tc>
        <w:tc>
          <w:tcPr>
            <w:tcW w:w="1017" w:type="pct"/>
            <w:vAlign w:val="bottom"/>
          </w:tcPr>
          <w:p w14:paraId="3B13E65F" w14:textId="52627317" w:rsidR="007C7737" w:rsidRPr="00027958" w:rsidRDefault="007C7737" w:rsidP="007C7737">
            <w:pPr>
              <w:pStyle w:val="ClientNormal"/>
              <w:pBdr>
                <w:bottom w:val="single" w:sz="4" w:space="1" w:color="auto"/>
              </w:pBdr>
              <w:spacing w:before="120"/>
              <w:jc w:val="right"/>
              <w:rPr>
                <w:rFonts w:ascii="Atyp Colt CZ" w:hAnsi="Atyp Colt CZ" w:cs="Calibri"/>
                <w:color w:val="000000"/>
                <w:szCs w:val="20"/>
                <w:lang w:val="en-US"/>
              </w:rPr>
            </w:pPr>
            <w:r w:rsidRPr="00027958">
              <w:rPr>
                <w:rFonts w:ascii="Atyp Colt CZ" w:hAnsi="Atyp Colt CZ" w:cs="Calibri"/>
                <w:color w:val="000000"/>
                <w:szCs w:val="20"/>
                <w:lang w:val="en-US"/>
              </w:rPr>
              <w:t>23 195</w:t>
            </w:r>
          </w:p>
        </w:tc>
        <w:tc>
          <w:tcPr>
            <w:tcW w:w="626" w:type="pct"/>
            <w:vAlign w:val="bottom"/>
          </w:tcPr>
          <w:p w14:paraId="30EF2311" w14:textId="6C3C418F" w:rsidR="007C7737" w:rsidRPr="00027958" w:rsidRDefault="2295A0DE" w:rsidP="4B2C601D">
            <w:pPr>
              <w:pStyle w:val="ClientNormal"/>
              <w:pBdr>
                <w:bottom w:val="single" w:sz="4" w:space="1" w:color="auto"/>
              </w:pBdr>
              <w:spacing w:before="120"/>
              <w:jc w:val="right"/>
              <w:rPr>
                <w:rFonts w:ascii="Atyp Colt CZ" w:hAnsi="Atyp Colt CZ" w:cs="Calibri"/>
                <w:color w:val="000000"/>
                <w:lang w:val="cs-CZ"/>
              </w:rPr>
            </w:pPr>
            <w:r w:rsidRPr="4B2C601D">
              <w:rPr>
                <w:rFonts w:ascii="Atyp Colt CZ" w:hAnsi="Atyp Colt CZ" w:cs="Calibri"/>
                <w:color w:val="000000" w:themeColor="text1"/>
              </w:rPr>
              <w:t>-15,7</w:t>
            </w:r>
            <w:r w:rsidR="78B345B0" w:rsidRPr="4B2C601D">
              <w:rPr>
                <w:rFonts w:ascii="Atyp Colt CZ" w:hAnsi="Atyp Colt CZ" w:cs="Calibri"/>
                <w:color w:val="000000" w:themeColor="text1"/>
              </w:rPr>
              <w:t xml:space="preserve"> </w:t>
            </w:r>
            <w:r w:rsidRPr="4B2C601D">
              <w:rPr>
                <w:rFonts w:ascii="Atyp Colt CZ" w:hAnsi="Atyp Colt CZ" w:cs="Calibri"/>
                <w:color w:val="000000" w:themeColor="text1"/>
              </w:rPr>
              <w:t>%</w:t>
            </w:r>
          </w:p>
        </w:tc>
        <w:tc>
          <w:tcPr>
            <w:tcW w:w="1008" w:type="pct"/>
            <w:vAlign w:val="bottom"/>
          </w:tcPr>
          <w:p w14:paraId="612105C9" w14:textId="06233676" w:rsidR="007C7737" w:rsidRPr="00027958" w:rsidRDefault="007C7737" w:rsidP="007C7737">
            <w:pPr>
              <w:pStyle w:val="ClientNormal"/>
              <w:pBdr>
                <w:bottom w:val="single" w:sz="4" w:space="1" w:color="auto"/>
              </w:pBdr>
              <w:spacing w:before="120"/>
              <w:jc w:val="right"/>
              <w:rPr>
                <w:rFonts w:ascii="Atyp Colt CZ" w:hAnsi="Atyp Colt CZ" w:cs="Calibri"/>
                <w:i/>
                <w:iCs/>
                <w:color w:val="000000"/>
                <w:szCs w:val="20"/>
                <w:lang w:val="cs-CZ"/>
              </w:rPr>
            </w:pPr>
            <w:r w:rsidRPr="00027958">
              <w:rPr>
                <w:rFonts w:ascii="Atyp Colt CZ" w:hAnsi="Atyp Colt CZ" w:cs="Calibri"/>
                <w:i/>
                <w:iCs/>
                <w:color w:val="000000"/>
                <w:szCs w:val="20"/>
              </w:rPr>
              <w:t>0,3 %</w:t>
            </w:r>
          </w:p>
        </w:tc>
      </w:tr>
      <w:tr w:rsidR="00C25F4A" w:rsidRPr="00027958" w14:paraId="4AA06492" w14:textId="77777777" w:rsidTr="4B2C601D">
        <w:trPr>
          <w:trHeight w:val="283"/>
        </w:trPr>
        <w:tc>
          <w:tcPr>
            <w:tcW w:w="1331" w:type="pct"/>
            <w:vAlign w:val="bottom"/>
          </w:tcPr>
          <w:p w14:paraId="3BF80EE9" w14:textId="77777777" w:rsidR="00C25F4A" w:rsidRPr="00027958" w:rsidRDefault="00C25F4A" w:rsidP="00C25F4A">
            <w:pPr>
              <w:pStyle w:val="ClientNormal"/>
              <w:tabs>
                <w:tab w:val="left" w:leader="dot" w:pos="5264"/>
              </w:tabs>
              <w:spacing w:before="120"/>
              <w:rPr>
                <w:rFonts w:ascii="Atyp Colt CZ" w:eastAsia="Calibri" w:hAnsi="Atyp Colt CZ"/>
                <w:b/>
                <w:bCs/>
                <w:szCs w:val="20"/>
                <w:lang w:val="cs-CZ"/>
              </w:rPr>
            </w:pPr>
            <w:r w:rsidRPr="00027958">
              <w:rPr>
                <w:rFonts w:ascii="Atyp Colt CZ" w:eastAsia="Calibri" w:hAnsi="Atyp Colt CZ"/>
                <w:b/>
                <w:bCs/>
                <w:szCs w:val="20"/>
                <w:lang w:val="cs-CZ"/>
              </w:rPr>
              <w:t>Celkem</w:t>
            </w:r>
          </w:p>
        </w:tc>
        <w:tc>
          <w:tcPr>
            <w:tcW w:w="1018" w:type="pct"/>
          </w:tcPr>
          <w:p w14:paraId="3660CDD2" w14:textId="2D18ED71" w:rsidR="00C25F4A" w:rsidRPr="00027958" w:rsidRDefault="00C25F4A" w:rsidP="00C25F4A">
            <w:pPr>
              <w:pStyle w:val="ClientNormal"/>
              <w:pBdr>
                <w:bottom w:val="double" w:sz="4" w:space="1" w:color="auto"/>
              </w:pBdr>
              <w:spacing w:before="120"/>
              <w:jc w:val="right"/>
              <w:rPr>
                <w:rFonts w:ascii="Atyp Colt CZ" w:hAnsi="Atyp Colt CZ" w:cs="Calibri"/>
                <w:b/>
                <w:bCs/>
                <w:szCs w:val="20"/>
                <w:lang w:val="cs-CZ"/>
              </w:rPr>
            </w:pPr>
            <w:r w:rsidRPr="00027958">
              <w:rPr>
                <w:rFonts w:ascii="Atyp Colt CZ" w:eastAsia="Calibri" w:hAnsi="Atyp Colt CZ" w:cs="Calibri"/>
                <w:b/>
                <w:bCs/>
                <w:szCs w:val="20"/>
                <w:lang w:val="en-US"/>
              </w:rPr>
              <w:t>7 317 429</w:t>
            </w:r>
          </w:p>
        </w:tc>
        <w:tc>
          <w:tcPr>
            <w:tcW w:w="1017" w:type="pct"/>
          </w:tcPr>
          <w:p w14:paraId="288E6C41" w14:textId="25E61957" w:rsidR="00C25F4A" w:rsidRPr="00027958" w:rsidRDefault="00C25F4A" w:rsidP="00C25F4A">
            <w:pPr>
              <w:pStyle w:val="ClientNormal"/>
              <w:pBdr>
                <w:bottom w:val="double" w:sz="4" w:space="1" w:color="auto"/>
              </w:pBdr>
              <w:spacing w:before="120"/>
              <w:jc w:val="right"/>
              <w:rPr>
                <w:rFonts w:ascii="Atyp Colt CZ" w:hAnsi="Atyp Colt CZ"/>
                <w:b/>
                <w:bCs/>
                <w:szCs w:val="20"/>
                <w:lang w:val="en-US"/>
              </w:rPr>
            </w:pPr>
            <w:r w:rsidRPr="00027958">
              <w:rPr>
                <w:rFonts w:ascii="Atyp Colt CZ" w:eastAsia="Calibri" w:hAnsi="Atyp Colt CZ" w:cs="Calibri"/>
                <w:b/>
                <w:bCs/>
                <w:szCs w:val="20"/>
                <w:lang w:val="en-US"/>
              </w:rPr>
              <w:t>5 512 221</w:t>
            </w:r>
          </w:p>
        </w:tc>
        <w:tc>
          <w:tcPr>
            <w:tcW w:w="626" w:type="pct"/>
          </w:tcPr>
          <w:p w14:paraId="2B35BCB6" w14:textId="452A8907" w:rsidR="00C25F4A" w:rsidRPr="00027958" w:rsidRDefault="00C25F4A" w:rsidP="00C25F4A">
            <w:pPr>
              <w:pStyle w:val="ClientNormal"/>
              <w:pBdr>
                <w:bottom w:val="double" w:sz="4" w:space="1" w:color="auto"/>
              </w:pBdr>
              <w:spacing w:before="120"/>
              <w:jc w:val="right"/>
              <w:rPr>
                <w:rFonts w:ascii="Atyp Colt CZ" w:hAnsi="Atyp Colt CZ" w:cs="Calibri"/>
                <w:b/>
                <w:bCs/>
                <w:color w:val="000000"/>
                <w:szCs w:val="20"/>
                <w:lang w:val="cs-CZ"/>
              </w:rPr>
            </w:pPr>
            <w:r w:rsidRPr="00027958">
              <w:rPr>
                <w:rFonts w:ascii="Atyp Colt CZ" w:hAnsi="Atyp Colt CZ"/>
                <w:b/>
                <w:bCs/>
                <w:szCs w:val="20"/>
                <w:lang w:val="en-US"/>
              </w:rPr>
              <w:t>32,7 %</w:t>
            </w:r>
          </w:p>
        </w:tc>
        <w:tc>
          <w:tcPr>
            <w:tcW w:w="1008" w:type="pct"/>
            <w:vAlign w:val="bottom"/>
          </w:tcPr>
          <w:p w14:paraId="47956DC1" w14:textId="628C79DB" w:rsidR="00C25F4A" w:rsidRPr="00027958" w:rsidRDefault="00C25F4A" w:rsidP="00C25F4A">
            <w:pPr>
              <w:pStyle w:val="ClientNormal"/>
              <w:pBdr>
                <w:bottom w:val="double" w:sz="4" w:space="1" w:color="auto"/>
              </w:pBdr>
              <w:spacing w:before="120"/>
              <w:jc w:val="right"/>
              <w:rPr>
                <w:rFonts w:ascii="Atyp Colt CZ" w:hAnsi="Atyp Colt CZ" w:cs="Calibri"/>
                <w:b/>
                <w:bCs/>
                <w:i/>
                <w:iCs/>
                <w:color w:val="000000"/>
                <w:szCs w:val="20"/>
                <w:lang w:val="cs-CZ"/>
              </w:rPr>
            </w:pPr>
            <w:r w:rsidRPr="00027958">
              <w:rPr>
                <w:rFonts w:ascii="Atyp Colt CZ" w:hAnsi="Atyp Colt CZ" w:cs="Calibri"/>
                <w:b/>
                <w:bCs/>
                <w:i/>
                <w:iCs/>
                <w:color w:val="000000"/>
                <w:szCs w:val="20"/>
                <w:lang w:val="en-US"/>
              </w:rPr>
              <w:t>100,0 %</w:t>
            </w:r>
          </w:p>
        </w:tc>
      </w:tr>
      <w:bookmarkEnd w:id="3"/>
    </w:tbl>
    <w:p w14:paraId="4F12B066" w14:textId="77777777" w:rsidR="00645127" w:rsidRPr="00027958" w:rsidRDefault="00645127" w:rsidP="00645127">
      <w:pPr>
        <w:spacing w:before="240" w:after="0"/>
        <w:rPr>
          <w:rFonts w:eastAsiaTheme="minorHAnsi" w:cs="Calibri"/>
          <w:szCs w:val="20"/>
        </w:rPr>
      </w:pPr>
    </w:p>
    <w:p w14:paraId="52D34F94" w14:textId="5B2255E6" w:rsidR="00645127" w:rsidRPr="00027958" w:rsidRDefault="00CF327D" w:rsidP="00490902">
      <w:pPr>
        <w:keepNext/>
        <w:spacing w:before="240" w:after="120"/>
        <w:rPr>
          <w:rFonts w:eastAsiaTheme="minorHAnsi" w:cs="Calibri"/>
          <w:b/>
          <w:bCs/>
          <w:szCs w:val="20"/>
        </w:rPr>
      </w:pPr>
      <w:r w:rsidRPr="00027958">
        <w:rPr>
          <w:rFonts w:eastAsiaTheme="minorHAnsi" w:cs="Calibri"/>
          <w:b/>
          <w:bCs/>
          <w:szCs w:val="20"/>
        </w:rPr>
        <w:lastRenderedPageBreak/>
        <w:t>Finanční výsledky podle segmentů</w:t>
      </w:r>
    </w:p>
    <w:tbl>
      <w:tblPr>
        <w:tblStyle w:val="Mkatabulky"/>
        <w:tblW w:w="0" w:type="auto"/>
        <w:tblLook w:val="04A0" w:firstRow="1" w:lastRow="0" w:firstColumn="1" w:lastColumn="0" w:noHBand="0" w:noVBand="1"/>
      </w:tblPr>
      <w:tblGrid>
        <w:gridCol w:w="1980"/>
        <w:gridCol w:w="1843"/>
        <w:gridCol w:w="1842"/>
        <w:gridCol w:w="1607"/>
        <w:gridCol w:w="1506"/>
      </w:tblGrid>
      <w:tr w:rsidR="00CF327D" w:rsidRPr="00CF5681" w14:paraId="4D584AAC" w14:textId="4E00C412" w:rsidTr="00B34819">
        <w:tc>
          <w:tcPr>
            <w:tcW w:w="1980" w:type="dxa"/>
          </w:tcPr>
          <w:p w14:paraId="68B150D6" w14:textId="520BE9DA" w:rsidR="00CF327D" w:rsidRPr="00CF5681" w:rsidRDefault="00CF327D" w:rsidP="00792E9F">
            <w:pPr>
              <w:keepNext/>
              <w:spacing w:before="120" w:after="120"/>
              <w:rPr>
                <w:rFonts w:eastAsiaTheme="minorHAnsi" w:cs="Calibri"/>
                <w:b/>
                <w:bCs/>
                <w:szCs w:val="20"/>
              </w:rPr>
            </w:pPr>
            <w:r w:rsidRPr="00CF5681">
              <w:rPr>
                <w:rFonts w:eastAsiaTheme="minorHAnsi" w:cs="Calibri"/>
                <w:b/>
                <w:bCs/>
                <w:szCs w:val="20"/>
              </w:rPr>
              <w:t>V </w:t>
            </w:r>
            <w:r w:rsidR="0054098A">
              <w:rPr>
                <w:rFonts w:eastAsiaTheme="minorHAnsi" w:cs="Calibri"/>
                <w:b/>
                <w:bCs/>
                <w:szCs w:val="20"/>
              </w:rPr>
              <w:t>mil</w:t>
            </w:r>
            <w:r w:rsidRPr="00CF5681">
              <w:rPr>
                <w:rFonts w:eastAsiaTheme="minorHAnsi" w:cs="Calibri"/>
                <w:b/>
                <w:bCs/>
                <w:szCs w:val="20"/>
              </w:rPr>
              <w:t>. Kč</w:t>
            </w:r>
          </w:p>
        </w:tc>
        <w:tc>
          <w:tcPr>
            <w:tcW w:w="1843" w:type="dxa"/>
          </w:tcPr>
          <w:p w14:paraId="75770C4A" w14:textId="5B934474" w:rsidR="00CF327D" w:rsidRPr="00CF5681" w:rsidRDefault="00CF327D" w:rsidP="00CF327D">
            <w:pPr>
              <w:spacing w:before="120" w:after="120"/>
              <w:jc w:val="right"/>
              <w:rPr>
                <w:rFonts w:eastAsiaTheme="minorHAnsi" w:cs="Calibri"/>
                <w:b/>
                <w:bCs/>
                <w:szCs w:val="20"/>
              </w:rPr>
            </w:pPr>
            <w:r w:rsidRPr="00CF5681">
              <w:rPr>
                <w:rFonts w:eastAsiaTheme="minorHAnsi" w:cs="Calibri"/>
                <w:b/>
                <w:bCs/>
                <w:szCs w:val="20"/>
              </w:rPr>
              <w:t>Palné zbraně</w:t>
            </w:r>
          </w:p>
        </w:tc>
        <w:tc>
          <w:tcPr>
            <w:tcW w:w="1842" w:type="dxa"/>
          </w:tcPr>
          <w:p w14:paraId="731F57F5" w14:textId="1F05A2E2" w:rsidR="00CF327D" w:rsidRPr="00CF5681" w:rsidRDefault="00CF327D" w:rsidP="00CF327D">
            <w:pPr>
              <w:spacing w:before="120" w:after="120"/>
              <w:jc w:val="right"/>
              <w:rPr>
                <w:rFonts w:eastAsiaTheme="minorHAnsi" w:cs="Calibri"/>
                <w:b/>
                <w:bCs/>
                <w:szCs w:val="20"/>
              </w:rPr>
            </w:pPr>
            <w:r w:rsidRPr="00CF5681">
              <w:rPr>
                <w:rFonts w:eastAsiaTheme="minorHAnsi" w:cs="Calibri"/>
                <w:b/>
                <w:bCs/>
                <w:szCs w:val="20"/>
              </w:rPr>
              <w:t>Munice</w:t>
            </w:r>
          </w:p>
        </w:tc>
        <w:tc>
          <w:tcPr>
            <w:tcW w:w="1607" w:type="dxa"/>
          </w:tcPr>
          <w:p w14:paraId="147E538F" w14:textId="4BE71902" w:rsidR="00CF327D" w:rsidRPr="00CF5681" w:rsidRDefault="00CF327D" w:rsidP="00CF327D">
            <w:pPr>
              <w:spacing w:before="120" w:after="120"/>
              <w:jc w:val="right"/>
              <w:rPr>
                <w:rFonts w:eastAsiaTheme="minorHAnsi" w:cs="Calibri"/>
                <w:b/>
                <w:bCs/>
                <w:szCs w:val="20"/>
              </w:rPr>
            </w:pPr>
            <w:r w:rsidRPr="00CF5681">
              <w:rPr>
                <w:rFonts w:eastAsiaTheme="minorHAnsi" w:cs="Calibri"/>
                <w:b/>
                <w:bCs/>
                <w:szCs w:val="20"/>
              </w:rPr>
              <w:t>Energetické materiály</w:t>
            </w:r>
          </w:p>
        </w:tc>
        <w:tc>
          <w:tcPr>
            <w:tcW w:w="1506" w:type="dxa"/>
          </w:tcPr>
          <w:p w14:paraId="0E6EB40E" w14:textId="4FED39F9" w:rsidR="00CF327D" w:rsidRPr="00CF5681" w:rsidRDefault="00CF327D" w:rsidP="00CF327D">
            <w:pPr>
              <w:spacing w:before="120" w:after="120"/>
              <w:jc w:val="right"/>
              <w:rPr>
                <w:rFonts w:eastAsiaTheme="minorHAnsi" w:cs="Calibri"/>
                <w:b/>
                <w:bCs/>
                <w:i/>
                <w:iCs/>
                <w:szCs w:val="20"/>
              </w:rPr>
            </w:pPr>
            <w:r w:rsidRPr="00CF5681">
              <w:rPr>
                <w:rFonts w:eastAsiaTheme="minorHAnsi" w:cs="Calibri"/>
                <w:b/>
                <w:bCs/>
                <w:i/>
                <w:iCs/>
                <w:szCs w:val="20"/>
              </w:rPr>
              <w:t>Celkem</w:t>
            </w:r>
          </w:p>
        </w:tc>
      </w:tr>
      <w:tr w:rsidR="00CF327D" w:rsidRPr="00027958" w14:paraId="3058E51D" w14:textId="47FE4039" w:rsidTr="00B34819">
        <w:tc>
          <w:tcPr>
            <w:tcW w:w="1980" w:type="dxa"/>
          </w:tcPr>
          <w:p w14:paraId="4F358B64" w14:textId="183D2F4D" w:rsidR="00CF327D" w:rsidRPr="00CF5681" w:rsidRDefault="00CF327D" w:rsidP="00CF327D">
            <w:pPr>
              <w:spacing w:before="120" w:after="120"/>
              <w:jc w:val="left"/>
              <w:rPr>
                <w:rFonts w:eastAsiaTheme="minorHAnsi" w:cs="Calibri"/>
                <w:szCs w:val="20"/>
              </w:rPr>
            </w:pPr>
            <w:r w:rsidRPr="00CF5681">
              <w:rPr>
                <w:rFonts w:eastAsiaTheme="minorHAnsi" w:cs="Calibri"/>
                <w:szCs w:val="20"/>
              </w:rPr>
              <w:t>Výnosy</w:t>
            </w:r>
          </w:p>
        </w:tc>
        <w:tc>
          <w:tcPr>
            <w:tcW w:w="1843" w:type="dxa"/>
          </w:tcPr>
          <w:p w14:paraId="54314C2D" w14:textId="323D302E"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3 480,8</w:t>
            </w:r>
          </w:p>
        </w:tc>
        <w:tc>
          <w:tcPr>
            <w:tcW w:w="1842" w:type="dxa"/>
          </w:tcPr>
          <w:p w14:paraId="024433D1" w14:textId="7F6F13B5"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2 307,2</w:t>
            </w:r>
          </w:p>
        </w:tc>
        <w:tc>
          <w:tcPr>
            <w:tcW w:w="1607" w:type="dxa"/>
          </w:tcPr>
          <w:p w14:paraId="0D8487C2" w14:textId="6FE5B7CF"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1 529,4</w:t>
            </w:r>
          </w:p>
        </w:tc>
        <w:tc>
          <w:tcPr>
            <w:tcW w:w="1506" w:type="dxa"/>
          </w:tcPr>
          <w:p w14:paraId="7FF29AF4" w14:textId="29AC45CF" w:rsidR="00CF327D" w:rsidRPr="00027958" w:rsidRDefault="00CF327D" w:rsidP="00CF327D">
            <w:pPr>
              <w:spacing w:before="120" w:after="120"/>
              <w:jc w:val="right"/>
              <w:rPr>
                <w:rFonts w:eastAsiaTheme="minorHAnsi" w:cs="Calibri"/>
                <w:i/>
                <w:iCs/>
                <w:szCs w:val="20"/>
              </w:rPr>
            </w:pPr>
            <w:r w:rsidRPr="00027958">
              <w:rPr>
                <w:rFonts w:eastAsiaTheme="minorHAnsi" w:cs="Calibri"/>
                <w:i/>
                <w:iCs/>
                <w:szCs w:val="20"/>
              </w:rPr>
              <w:t>7 317,4</w:t>
            </w:r>
          </w:p>
        </w:tc>
      </w:tr>
      <w:tr w:rsidR="00CF327D" w:rsidRPr="00027958" w14:paraId="59372B02" w14:textId="192F7116" w:rsidTr="00B34819">
        <w:tc>
          <w:tcPr>
            <w:tcW w:w="1980" w:type="dxa"/>
          </w:tcPr>
          <w:p w14:paraId="5D5A4686" w14:textId="6990BD5A" w:rsidR="00CF327D" w:rsidRPr="00CF5681" w:rsidRDefault="00B34819" w:rsidP="00CF327D">
            <w:pPr>
              <w:spacing w:before="120" w:after="120"/>
              <w:jc w:val="left"/>
              <w:rPr>
                <w:rFonts w:eastAsiaTheme="minorHAnsi" w:cs="Calibri"/>
                <w:szCs w:val="20"/>
              </w:rPr>
            </w:pPr>
            <w:r w:rsidRPr="00CF5681">
              <w:rPr>
                <w:rFonts w:eastAsiaTheme="minorHAnsi" w:cs="Calibri"/>
                <w:szCs w:val="20"/>
              </w:rPr>
              <w:t xml:space="preserve">Upravená </w:t>
            </w:r>
            <w:r w:rsidR="00CF327D" w:rsidRPr="00CF5681">
              <w:rPr>
                <w:rFonts w:eastAsiaTheme="minorHAnsi" w:cs="Calibri"/>
                <w:szCs w:val="20"/>
              </w:rPr>
              <w:t>EBITDA</w:t>
            </w:r>
          </w:p>
        </w:tc>
        <w:tc>
          <w:tcPr>
            <w:tcW w:w="1843" w:type="dxa"/>
          </w:tcPr>
          <w:p w14:paraId="6B507D56" w14:textId="22B64D54"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509,2</w:t>
            </w:r>
          </w:p>
        </w:tc>
        <w:tc>
          <w:tcPr>
            <w:tcW w:w="1842" w:type="dxa"/>
          </w:tcPr>
          <w:p w14:paraId="09E53359" w14:textId="478D09A6"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774,1</w:t>
            </w:r>
          </w:p>
        </w:tc>
        <w:tc>
          <w:tcPr>
            <w:tcW w:w="1607" w:type="dxa"/>
          </w:tcPr>
          <w:p w14:paraId="38EF8E69" w14:textId="78FF0444" w:rsidR="00CF327D" w:rsidRPr="00027958" w:rsidRDefault="00B34819" w:rsidP="00CF327D">
            <w:pPr>
              <w:spacing w:before="120" w:after="120"/>
              <w:jc w:val="right"/>
              <w:rPr>
                <w:rFonts w:eastAsiaTheme="minorHAnsi" w:cs="Calibri"/>
                <w:szCs w:val="20"/>
              </w:rPr>
            </w:pPr>
            <w:r w:rsidRPr="00027958">
              <w:rPr>
                <w:rFonts w:eastAsiaTheme="minorHAnsi" w:cs="Calibri"/>
                <w:szCs w:val="20"/>
              </w:rPr>
              <w:t>80</w:t>
            </w:r>
            <w:r w:rsidR="00CF5681">
              <w:rPr>
                <w:rFonts w:eastAsiaTheme="minorHAnsi" w:cs="Calibri"/>
                <w:szCs w:val="20"/>
              </w:rPr>
              <w:t>2,5</w:t>
            </w:r>
          </w:p>
        </w:tc>
        <w:tc>
          <w:tcPr>
            <w:tcW w:w="1506" w:type="dxa"/>
          </w:tcPr>
          <w:p w14:paraId="4C1228F1" w14:textId="3537715C" w:rsidR="00CF327D" w:rsidRPr="00027958" w:rsidRDefault="00B34819" w:rsidP="00CF327D">
            <w:pPr>
              <w:spacing w:before="120" w:after="120"/>
              <w:jc w:val="right"/>
              <w:rPr>
                <w:rFonts w:eastAsiaTheme="minorHAnsi" w:cs="Calibri"/>
                <w:i/>
                <w:iCs/>
                <w:szCs w:val="20"/>
              </w:rPr>
            </w:pPr>
            <w:r w:rsidRPr="00027958">
              <w:rPr>
                <w:rFonts w:eastAsiaTheme="minorHAnsi" w:cs="Calibri"/>
                <w:i/>
                <w:iCs/>
                <w:szCs w:val="20"/>
              </w:rPr>
              <w:t>2 085,8</w:t>
            </w:r>
          </w:p>
        </w:tc>
      </w:tr>
      <w:tr w:rsidR="00CF327D" w:rsidRPr="00027958" w14:paraId="2DD35785" w14:textId="6FB9781F" w:rsidTr="00B34819">
        <w:tc>
          <w:tcPr>
            <w:tcW w:w="1980" w:type="dxa"/>
          </w:tcPr>
          <w:p w14:paraId="3479D5E7" w14:textId="572CC9B1" w:rsidR="00CF327D" w:rsidRPr="00CF5681" w:rsidRDefault="00CF327D" w:rsidP="00CF327D">
            <w:pPr>
              <w:spacing w:before="120" w:after="120"/>
              <w:jc w:val="left"/>
              <w:rPr>
                <w:rFonts w:eastAsiaTheme="minorHAnsi" w:cs="Calibri"/>
                <w:szCs w:val="20"/>
              </w:rPr>
            </w:pPr>
            <w:r w:rsidRPr="00CF5681">
              <w:rPr>
                <w:rFonts w:eastAsiaTheme="minorHAnsi" w:cs="Calibri"/>
                <w:szCs w:val="20"/>
              </w:rPr>
              <w:t xml:space="preserve">Marže </w:t>
            </w:r>
            <w:r w:rsidR="00B34819" w:rsidRPr="00CF5681">
              <w:rPr>
                <w:rFonts w:eastAsiaTheme="minorHAnsi" w:cs="Calibri"/>
                <w:szCs w:val="20"/>
              </w:rPr>
              <w:t xml:space="preserve">upravené </w:t>
            </w:r>
            <w:r w:rsidRPr="00CF5681">
              <w:rPr>
                <w:rFonts w:eastAsiaTheme="minorHAnsi" w:cs="Calibri"/>
                <w:szCs w:val="20"/>
              </w:rPr>
              <w:t>EBITDA v %</w:t>
            </w:r>
          </w:p>
        </w:tc>
        <w:tc>
          <w:tcPr>
            <w:tcW w:w="1843" w:type="dxa"/>
          </w:tcPr>
          <w:p w14:paraId="410FC128" w14:textId="33C65B18"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14,6</w:t>
            </w:r>
            <w:r w:rsidR="004009C0">
              <w:rPr>
                <w:rFonts w:eastAsiaTheme="minorHAnsi" w:cs="Calibri"/>
                <w:szCs w:val="20"/>
              </w:rPr>
              <w:t xml:space="preserve"> </w:t>
            </w:r>
            <w:r w:rsidRPr="00027958">
              <w:rPr>
                <w:rFonts w:eastAsiaTheme="minorHAnsi" w:cs="Calibri"/>
                <w:szCs w:val="20"/>
              </w:rPr>
              <w:t>%</w:t>
            </w:r>
          </w:p>
        </w:tc>
        <w:tc>
          <w:tcPr>
            <w:tcW w:w="1842" w:type="dxa"/>
          </w:tcPr>
          <w:p w14:paraId="1471E4E4" w14:textId="22C7FC1D" w:rsidR="00CF327D" w:rsidRPr="00027958" w:rsidRDefault="00CF327D" w:rsidP="00CF327D">
            <w:pPr>
              <w:spacing w:before="120" w:after="120"/>
              <w:jc w:val="right"/>
              <w:rPr>
                <w:rFonts w:eastAsiaTheme="minorHAnsi" w:cs="Calibri"/>
                <w:szCs w:val="20"/>
              </w:rPr>
            </w:pPr>
            <w:r w:rsidRPr="00027958">
              <w:rPr>
                <w:rFonts w:eastAsiaTheme="minorHAnsi" w:cs="Calibri"/>
                <w:szCs w:val="20"/>
              </w:rPr>
              <w:t>33,6</w:t>
            </w:r>
            <w:r w:rsidR="00B34819" w:rsidRPr="00027958">
              <w:rPr>
                <w:rFonts w:eastAsiaTheme="minorHAnsi" w:cs="Calibri"/>
                <w:szCs w:val="20"/>
              </w:rPr>
              <w:t xml:space="preserve"> </w:t>
            </w:r>
            <w:r w:rsidRPr="00027958">
              <w:rPr>
                <w:rFonts w:eastAsiaTheme="minorHAnsi" w:cs="Calibri"/>
                <w:szCs w:val="20"/>
              </w:rPr>
              <w:t>%</w:t>
            </w:r>
          </w:p>
        </w:tc>
        <w:tc>
          <w:tcPr>
            <w:tcW w:w="1607" w:type="dxa"/>
          </w:tcPr>
          <w:p w14:paraId="7066ABA2" w14:textId="4A6C8BFB" w:rsidR="00CF327D" w:rsidRPr="00027958" w:rsidRDefault="00B34819" w:rsidP="00CF327D">
            <w:pPr>
              <w:spacing w:before="120" w:after="120"/>
              <w:jc w:val="right"/>
              <w:rPr>
                <w:rFonts w:eastAsiaTheme="minorHAnsi" w:cs="Calibri"/>
                <w:szCs w:val="20"/>
              </w:rPr>
            </w:pPr>
            <w:r w:rsidRPr="00027958">
              <w:rPr>
                <w:rFonts w:eastAsiaTheme="minorHAnsi" w:cs="Calibri"/>
                <w:szCs w:val="20"/>
              </w:rPr>
              <w:t>52,5 %</w:t>
            </w:r>
          </w:p>
        </w:tc>
        <w:tc>
          <w:tcPr>
            <w:tcW w:w="1506" w:type="dxa"/>
          </w:tcPr>
          <w:p w14:paraId="39421D8C" w14:textId="04D60D46" w:rsidR="00CF327D" w:rsidRPr="00027958" w:rsidRDefault="00B34819" w:rsidP="00CF327D">
            <w:pPr>
              <w:spacing w:before="120" w:after="120"/>
              <w:jc w:val="right"/>
              <w:rPr>
                <w:rFonts w:eastAsiaTheme="minorHAnsi" w:cs="Calibri"/>
                <w:i/>
                <w:iCs/>
                <w:szCs w:val="20"/>
              </w:rPr>
            </w:pPr>
            <w:r w:rsidRPr="00027958">
              <w:rPr>
                <w:rFonts w:eastAsiaTheme="minorHAnsi" w:cs="Calibri"/>
                <w:i/>
                <w:iCs/>
                <w:szCs w:val="20"/>
              </w:rPr>
              <w:t xml:space="preserve">28,5 </w:t>
            </w:r>
            <w:r w:rsidR="00CF327D" w:rsidRPr="00027958">
              <w:rPr>
                <w:rFonts w:eastAsiaTheme="minorHAnsi" w:cs="Calibri"/>
                <w:i/>
                <w:iCs/>
                <w:szCs w:val="20"/>
              </w:rPr>
              <w:t>%</w:t>
            </w:r>
          </w:p>
        </w:tc>
      </w:tr>
    </w:tbl>
    <w:p w14:paraId="0DA1BE5D" w14:textId="1B061153" w:rsidR="00C33801" w:rsidRPr="00027958" w:rsidRDefault="00C33801" w:rsidP="008318F7">
      <w:pPr>
        <w:pStyle w:val="Odstavecseseznamem"/>
        <w:keepNext/>
        <w:numPr>
          <w:ilvl w:val="0"/>
          <w:numId w:val="17"/>
        </w:numPr>
        <w:spacing w:before="240" w:after="0" w:line="276" w:lineRule="auto"/>
        <w:ind w:left="1434" w:hanging="357"/>
        <w:rPr>
          <w:rFonts w:eastAsia="Calibri"/>
          <w:i/>
          <w:iCs/>
        </w:rPr>
      </w:pPr>
      <w:r w:rsidRPr="5FAC94B9">
        <w:rPr>
          <w:rFonts w:eastAsia="Calibri"/>
          <w:i/>
          <w:iCs/>
        </w:rPr>
        <w:t xml:space="preserve">Segment palných zbraní </w:t>
      </w:r>
    </w:p>
    <w:p w14:paraId="1110B314" w14:textId="7D329FC6" w:rsidR="00C33801" w:rsidRPr="00027958" w:rsidRDefault="00C33801" w:rsidP="008318F7">
      <w:pPr>
        <w:spacing w:before="240" w:after="0" w:line="276" w:lineRule="auto"/>
        <w:rPr>
          <w:rFonts w:eastAsia="Calibri"/>
          <w:i/>
          <w:iCs/>
          <w:color w:val="595959" w:themeColor="text1" w:themeTint="A6"/>
        </w:rPr>
      </w:pPr>
      <w:r w:rsidRPr="5FAC94B9">
        <w:rPr>
          <w:rFonts w:eastAsia="Calibri"/>
          <w:i/>
          <w:iCs/>
          <w:color w:val="595959" w:themeColor="text1" w:themeTint="A6"/>
        </w:rPr>
        <w:t>Segment palných zbraní zahrnuje vývoj, výrobu, montáž a prodej střelných zbraní, taktického příslušenství a optických montážních řešení pro ozbrojené složky, osobní obranu, lov, sportovní střelbu a další komerční využití.</w:t>
      </w:r>
    </w:p>
    <w:p w14:paraId="175947C2" w14:textId="1826B5AE" w:rsidR="00F3075D" w:rsidRPr="00027958" w:rsidRDefault="00690062" w:rsidP="00C42491">
      <w:pPr>
        <w:spacing w:before="240" w:after="0"/>
        <w:rPr>
          <w:rFonts w:eastAsiaTheme="minorEastAsia" w:cs="Calibri"/>
        </w:rPr>
      </w:pPr>
      <w:r w:rsidRPr="5FAC94B9">
        <w:rPr>
          <w:rFonts w:cs="Calibri"/>
        </w:rPr>
        <w:t>V prvních třech měsících roku 202</w:t>
      </w:r>
      <w:r w:rsidR="007C7737" w:rsidRPr="5FAC94B9">
        <w:rPr>
          <w:rFonts w:cs="Calibri"/>
        </w:rPr>
        <w:t>6</w:t>
      </w:r>
      <w:r w:rsidRPr="5FAC94B9">
        <w:rPr>
          <w:rFonts w:cs="Calibri"/>
        </w:rPr>
        <w:t xml:space="preserve"> </w:t>
      </w:r>
      <w:r w:rsidR="00C33801" w:rsidRPr="5FAC94B9">
        <w:rPr>
          <w:rFonts w:eastAsiaTheme="minorEastAsia" w:cs="Calibri"/>
        </w:rPr>
        <w:t xml:space="preserve">došlo k </w:t>
      </w:r>
      <w:r w:rsidR="00DD5212" w:rsidRPr="5FAC94B9">
        <w:rPr>
          <w:rFonts w:eastAsiaTheme="minorEastAsia" w:cs="Calibri"/>
        </w:rPr>
        <w:t>poklesu</w:t>
      </w:r>
      <w:r w:rsidR="00C33801" w:rsidRPr="5FAC94B9">
        <w:rPr>
          <w:rFonts w:eastAsiaTheme="minorEastAsia" w:cs="Calibri"/>
        </w:rPr>
        <w:t xml:space="preserve"> prodejů počtu zbraní</w:t>
      </w:r>
      <w:r w:rsidR="00645127" w:rsidRPr="5FAC94B9">
        <w:rPr>
          <w:rFonts w:eastAsiaTheme="minorEastAsia" w:cs="Calibri"/>
        </w:rPr>
        <w:t xml:space="preserve"> </w:t>
      </w:r>
      <w:r w:rsidR="00C33801" w:rsidRPr="5FAC94B9">
        <w:rPr>
          <w:rFonts w:eastAsiaTheme="minorEastAsia" w:cs="Calibri"/>
        </w:rPr>
        <w:t xml:space="preserve">o </w:t>
      </w:r>
      <w:r w:rsidR="00DD5212" w:rsidRPr="5FAC94B9">
        <w:rPr>
          <w:rFonts w:eastAsiaTheme="minorEastAsia" w:cs="Calibri"/>
        </w:rPr>
        <w:t>22,0</w:t>
      </w:r>
      <w:r w:rsidR="00C33801" w:rsidRPr="5FAC94B9">
        <w:rPr>
          <w:rFonts w:eastAsiaTheme="minorEastAsia" w:cs="Calibri"/>
        </w:rPr>
        <w:t xml:space="preserve"> % na </w:t>
      </w:r>
      <w:r w:rsidR="00DD5212" w:rsidRPr="5FAC94B9">
        <w:rPr>
          <w:rFonts w:eastAsia="Calibri"/>
        </w:rPr>
        <w:t>122 787</w:t>
      </w:r>
      <w:r w:rsidRPr="5FAC94B9">
        <w:rPr>
          <w:rFonts w:eastAsia="Calibri"/>
        </w:rPr>
        <w:t xml:space="preserve"> </w:t>
      </w:r>
      <w:r w:rsidR="00C33801" w:rsidRPr="5FAC94B9">
        <w:rPr>
          <w:rFonts w:eastAsiaTheme="minorEastAsia" w:cs="Calibri"/>
        </w:rPr>
        <w:t>kusů</w:t>
      </w:r>
      <w:r w:rsidR="002603D2" w:rsidRPr="5FAC94B9">
        <w:rPr>
          <w:rFonts w:eastAsiaTheme="minorEastAsia" w:cs="Calibri"/>
        </w:rPr>
        <w:t>,</w:t>
      </w:r>
      <w:r w:rsidR="00645127" w:rsidRPr="5FAC94B9">
        <w:rPr>
          <w:rFonts w:eastAsiaTheme="minorEastAsia" w:cs="Calibri"/>
        </w:rPr>
        <w:t xml:space="preserve"> a to zejména z důvodu sezónních vlivů v segmentu ozbrojených složek</w:t>
      </w:r>
      <w:r w:rsidR="42BDD265" w:rsidRPr="5FAC94B9">
        <w:rPr>
          <w:rFonts w:eastAsiaTheme="minorEastAsia" w:cs="Calibri"/>
        </w:rPr>
        <w:t xml:space="preserve"> a změnou struktury prodejního mixu</w:t>
      </w:r>
      <w:r w:rsidR="00C33801" w:rsidRPr="5FAC94B9">
        <w:rPr>
          <w:rFonts w:eastAsiaTheme="minorEastAsia" w:cs="Calibri"/>
        </w:rPr>
        <w:t xml:space="preserve">. </w:t>
      </w:r>
      <w:r w:rsidR="003D1E6D" w:rsidRPr="5FAC94B9">
        <w:rPr>
          <w:rFonts w:eastAsiaTheme="minorEastAsia" w:cs="Calibri"/>
        </w:rPr>
        <w:t xml:space="preserve">Navzdory celkovému poklesu se zvýšil počet prodaných kusů dlouhých zbraní značky Colt Canada a krátkých palných zbraní značky CZ v USA. </w:t>
      </w:r>
      <w:r w:rsidR="13C8138C" w:rsidRPr="5FAC94B9">
        <w:rPr>
          <w:rFonts w:eastAsiaTheme="minorEastAsia" w:cs="Calibri"/>
        </w:rPr>
        <w:t xml:space="preserve">Prodeje na komerčním trhu </w:t>
      </w:r>
      <w:r w:rsidR="0013062C" w:rsidRPr="5FAC94B9">
        <w:rPr>
          <w:rFonts w:eastAsiaTheme="minorEastAsia" w:cs="Calibri"/>
        </w:rPr>
        <w:t xml:space="preserve">USA </w:t>
      </w:r>
      <w:r w:rsidR="13C8138C" w:rsidRPr="5FAC94B9">
        <w:rPr>
          <w:rFonts w:eastAsiaTheme="minorEastAsia" w:cs="Calibri"/>
        </w:rPr>
        <w:t xml:space="preserve">zaznamenaly mírný nárůst u obou klíčových značek </w:t>
      </w:r>
      <w:r w:rsidR="008A7ED3">
        <w:rPr>
          <w:rFonts w:eastAsiaTheme="minorEastAsia" w:cs="Calibri"/>
        </w:rPr>
        <w:t>–</w:t>
      </w:r>
      <w:r w:rsidR="13C8138C" w:rsidRPr="5FAC94B9">
        <w:rPr>
          <w:rFonts w:eastAsiaTheme="minorEastAsia" w:cs="Calibri"/>
        </w:rPr>
        <w:t xml:space="preserve"> Colt i CZ. </w:t>
      </w:r>
    </w:p>
    <w:p w14:paraId="57E444A9" w14:textId="77777777" w:rsidR="00A56BB8" w:rsidRPr="00027958" w:rsidRDefault="00A56BB8" w:rsidP="008318F7">
      <w:pPr>
        <w:spacing w:before="0" w:after="0" w:line="276" w:lineRule="auto"/>
        <w:jc w:val="left"/>
        <w:rPr>
          <w:rFonts w:eastAsia="Calibri"/>
          <w:b/>
          <w:bCs/>
        </w:rPr>
      </w:pPr>
    </w:p>
    <w:p w14:paraId="063F1E9E" w14:textId="4485776D" w:rsidR="004813A9" w:rsidRPr="00027958" w:rsidRDefault="004813A9" w:rsidP="001C60E2">
      <w:pPr>
        <w:spacing w:before="0" w:after="0"/>
        <w:jc w:val="left"/>
        <w:rPr>
          <w:rFonts w:eastAsia="Calibri"/>
          <w:b/>
          <w:bCs/>
          <w:szCs w:val="20"/>
        </w:rPr>
      </w:pPr>
      <w:r w:rsidRPr="00027958">
        <w:rPr>
          <w:rFonts w:eastAsia="Calibri"/>
          <w:b/>
          <w:bCs/>
          <w:szCs w:val="20"/>
        </w:rPr>
        <w:t>Počet prodaných zbraní podle typu:</w:t>
      </w:r>
    </w:p>
    <w:tbl>
      <w:tblPr>
        <w:tblW w:w="5001" w:type="pct"/>
        <w:tblLook w:val="04A0" w:firstRow="1" w:lastRow="0" w:firstColumn="1" w:lastColumn="0" w:noHBand="0" w:noVBand="1"/>
      </w:tblPr>
      <w:tblGrid>
        <w:gridCol w:w="3300"/>
        <w:gridCol w:w="1788"/>
        <w:gridCol w:w="1976"/>
        <w:gridCol w:w="1726"/>
      </w:tblGrid>
      <w:tr w:rsidR="00690062" w:rsidRPr="00027958" w14:paraId="167AD9A9" w14:textId="77777777" w:rsidTr="4B2C601D">
        <w:trPr>
          <w:trHeight w:val="464"/>
        </w:trPr>
        <w:tc>
          <w:tcPr>
            <w:tcW w:w="1877" w:type="pct"/>
            <w:vAlign w:val="center"/>
          </w:tcPr>
          <w:p w14:paraId="3E864441" w14:textId="77777777" w:rsidR="00690062" w:rsidRPr="00027958" w:rsidRDefault="00690062" w:rsidP="00690062">
            <w:pPr>
              <w:pStyle w:val="ClientNormal"/>
              <w:spacing w:before="120"/>
              <w:rPr>
                <w:rFonts w:ascii="Atyp Colt CZ" w:eastAsia="Calibri" w:hAnsi="Atyp Colt CZ"/>
                <w:szCs w:val="20"/>
                <w:lang w:val="cs-CZ"/>
              </w:rPr>
            </w:pPr>
            <w:r w:rsidRPr="00027958">
              <w:rPr>
                <w:rFonts w:ascii="Atyp Colt CZ" w:eastAsia="Calibri" w:hAnsi="Atyp Colt CZ"/>
                <w:szCs w:val="20"/>
                <w:lang w:val="cs-CZ"/>
              </w:rPr>
              <w:t>V ks</w:t>
            </w:r>
          </w:p>
        </w:tc>
        <w:tc>
          <w:tcPr>
            <w:tcW w:w="1017" w:type="pct"/>
            <w:vAlign w:val="center"/>
          </w:tcPr>
          <w:p w14:paraId="3FF53593" w14:textId="32FCC38D" w:rsidR="00690062" w:rsidRPr="00027958" w:rsidRDefault="00690062" w:rsidP="00690062">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Za 1. čtvrtletí 202</w:t>
            </w:r>
            <w:r w:rsidR="007C7737" w:rsidRPr="00027958">
              <w:rPr>
                <w:rFonts w:ascii="Atyp Colt CZ" w:eastAsia="Calibri" w:hAnsi="Atyp Colt CZ"/>
                <w:szCs w:val="20"/>
                <w:lang w:val="cs-CZ"/>
              </w:rPr>
              <w:t>6</w:t>
            </w:r>
          </w:p>
        </w:tc>
        <w:tc>
          <w:tcPr>
            <w:tcW w:w="1124" w:type="pct"/>
            <w:vAlign w:val="center"/>
          </w:tcPr>
          <w:p w14:paraId="5C9DD055" w14:textId="41C5F4B7" w:rsidR="00690062" w:rsidRPr="00027958" w:rsidRDefault="00690062" w:rsidP="00690062">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Za 1. čtvrtletí 202</w:t>
            </w:r>
            <w:r w:rsidR="007C7737" w:rsidRPr="00027958">
              <w:rPr>
                <w:rFonts w:ascii="Atyp Colt CZ" w:eastAsia="Calibri" w:hAnsi="Atyp Colt CZ"/>
                <w:szCs w:val="20"/>
                <w:lang w:val="cs-CZ"/>
              </w:rPr>
              <w:t>5</w:t>
            </w:r>
          </w:p>
        </w:tc>
        <w:tc>
          <w:tcPr>
            <w:tcW w:w="982" w:type="pct"/>
            <w:vAlign w:val="center"/>
          </w:tcPr>
          <w:p w14:paraId="6D5CA6E0" w14:textId="77777777" w:rsidR="00690062" w:rsidRPr="00027958" w:rsidRDefault="00690062" w:rsidP="00690062">
            <w:pPr>
              <w:pStyle w:val="ClientNormal"/>
              <w:spacing w:before="120"/>
              <w:jc w:val="right"/>
              <w:rPr>
                <w:rFonts w:ascii="Atyp Colt CZ" w:eastAsia="Calibri" w:hAnsi="Atyp Colt CZ"/>
                <w:szCs w:val="20"/>
                <w:lang w:val="cs-CZ"/>
              </w:rPr>
            </w:pPr>
            <w:r w:rsidRPr="00027958">
              <w:rPr>
                <w:rFonts w:ascii="Atyp Colt CZ" w:eastAsia="Calibri" w:hAnsi="Atyp Colt CZ"/>
                <w:szCs w:val="20"/>
                <w:lang w:val="cs-CZ"/>
              </w:rPr>
              <w:t>Změna v %</w:t>
            </w:r>
          </w:p>
        </w:tc>
      </w:tr>
      <w:tr w:rsidR="007C7737" w:rsidRPr="00027958" w14:paraId="1FC973C9" w14:textId="77777777" w:rsidTr="4B2C601D">
        <w:trPr>
          <w:trHeight w:val="283"/>
        </w:trPr>
        <w:tc>
          <w:tcPr>
            <w:tcW w:w="1877" w:type="pct"/>
          </w:tcPr>
          <w:p w14:paraId="01FCECA9" w14:textId="6873DE0A" w:rsidR="007C7737" w:rsidRPr="00027958" w:rsidRDefault="007C7737" w:rsidP="007C7737">
            <w:pPr>
              <w:pStyle w:val="ClientNormal"/>
              <w:tabs>
                <w:tab w:val="left" w:leader="dot" w:pos="5264"/>
              </w:tabs>
              <w:spacing w:before="120"/>
              <w:rPr>
                <w:rFonts w:ascii="Atyp Colt CZ" w:hAnsi="Atyp Colt CZ" w:cs="Calibri"/>
                <w:szCs w:val="20"/>
                <w:lang w:val="cs-CZ"/>
              </w:rPr>
            </w:pPr>
            <w:r w:rsidRPr="00027958">
              <w:rPr>
                <w:rFonts w:ascii="Atyp Colt CZ" w:hAnsi="Atyp Colt CZ" w:cs="Calibri"/>
                <w:szCs w:val="20"/>
                <w:lang w:val="cs-CZ"/>
              </w:rPr>
              <w:t xml:space="preserve">Krátké palné zbraně </w:t>
            </w:r>
          </w:p>
        </w:tc>
        <w:tc>
          <w:tcPr>
            <w:tcW w:w="1017" w:type="pct"/>
            <w:vAlign w:val="bottom"/>
          </w:tcPr>
          <w:p w14:paraId="5F0FAEB7" w14:textId="65D25FF8" w:rsidR="007C7737" w:rsidRPr="00027958" w:rsidRDefault="00DD5212" w:rsidP="007C7737">
            <w:pPr>
              <w:pStyle w:val="ClientNormal"/>
              <w:spacing w:before="120"/>
              <w:jc w:val="right"/>
              <w:rPr>
                <w:rFonts w:ascii="Atyp Colt CZ" w:eastAsia="Calibri" w:hAnsi="Atyp Colt CZ" w:cs="Calibri"/>
                <w:szCs w:val="20"/>
                <w:lang w:val="cs-CZ"/>
              </w:rPr>
            </w:pPr>
            <w:r w:rsidRPr="00027958">
              <w:rPr>
                <w:rFonts w:ascii="Atyp Colt CZ" w:eastAsia="Calibri" w:hAnsi="Atyp Colt CZ" w:cs="Calibri"/>
                <w:szCs w:val="20"/>
                <w:lang w:val="cs-CZ"/>
              </w:rPr>
              <w:t>73 825</w:t>
            </w:r>
          </w:p>
        </w:tc>
        <w:tc>
          <w:tcPr>
            <w:tcW w:w="1124" w:type="pct"/>
            <w:vAlign w:val="bottom"/>
          </w:tcPr>
          <w:p w14:paraId="2CFED230" w14:textId="56523DE2" w:rsidR="007C7737" w:rsidRPr="00027958" w:rsidRDefault="007C7737" w:rsidP="007C7737">
            <w:pPr>
              <w:pStyle w:val="ClientNormal"/>
              <w:spacing w:before="120"/>
              <w:jc w:val="right"/>
              <w:rPr>
                <w:rFonts w:ascii="Atyp Colt CZ" w:hAnsi="Atyp Colt CZ" w:cs="Calibri"/>
                <w:color w:val="000000"/>
                <w:szCs w:val="20"/>
                <w:lang w:val="cs-CZ"/>
              </w:rPr>
            </w:pPr>
            <w:r w:rsidRPr="00027958">
              <w:rPr>
                <w:rFonts w:ascii="Atyp Colt CZ" w:eastAsia="Calibri" w:hAnsi="Atyp Colt CZ" w:cs="Calibri"/>
                <w:szCs w:val="20"/>
                <w:lang w:val="en-US"/>
              </w:rPr>
              <w:t>97 786</w:t>
            </w:r>
          </w:p>
        </w:tc>
        <w:tc>
          <w:tcPr>
            <w:tcW w:w="982" w:type="pct"/>
            <w:vAlign w:val="center"/>
          </w:tcPr>
          <w:p w14:paraId="7B770360" w14:textId="04FF547D" w:rsidR="007C7737" w:rsidRPr="00027958" w:rsidRDefault="00DD5212" w:rsidP="007C7737">
            <w:pPr>
              <w:pStyle w:val="ClientNormal"/>
              <w:spacing w:before="120"/>
              <w:jc w:val="right"/>
              <w:rPr>
                <w:rFonts w:ascii="Atyp Colt CZ" w:eastAsia="Calibri" w:hAnsi="Atyp Colt CZ" w:cs="Calibri"/>
                <w:szCs w:val="20"/>
                <w:lang w:val="cs-CZ"/>
              </w:rPr>
            </w:pPr>
            <w:r w:rsidRPr="00027958">
              <w:rPr>
                <w:rFonts w:ascii="Atyp Colt CZ" w:eastAsia="Calibri" w:hAnsi="Atyp Colt CZ" w:cs="Calibri"/>
                <w:szCs w:val="20"/>
                <w:lang w:val="cs-CZ"/>
              </w:rPr>
              <w:t>-24,5 %</w:t>
            </w:r>
          </w:p>
        </w:tc>
      </w:tr>
      <w:tr w:rsidR="007C7737" w:rsidRPr="00027958" w14:paraId="13338CC0" w14:textId="77777777" w:rsidTr="4B2C601D">
        <w:trPr>
          <w:trHeight w:val="283"/>
        </w:trPr>
        <w:tc>
          <w:tcPr>
            <w:tcW w:w="1877" w:type="pct"/>
          </w:tcPr>
          <w:p w14:paraId="0E6BADE1" w14:textId="401A1C78" w:rsidR="007C7737" w:rsidRPr="00027958" w:rsidRDefault="007C7737" w:rsidP="007C7737">
            <w:pPr>
              <w:pStyle w:val="ClientNormal"/>
              <w:tabs>
                <w:tab w:val="left" w:leader="dot" w:pos="5264"/>
              </w:tabs>
              <w:spacing w:before="120"/>
              <w:rPr>
                <w:rFonts w:ascii="Atyp Colt CZ" w:hAnsi="Atyp Colt CZ" w:cs="Calibri"/>
                <w:szCs w:val="20"/>
                <w:lang w:val="cs-CZ"/>
              </w:rPr>
            </w:pPr>
            <w:r w:rsidRPr="00027958">
              <w:rPr>
                <w:rFonts w:ascii="Atyp Colt CZ" w:hAnsi="Atyp Colt CZ" w:cs="Calibri"/>
                <w:szCs w:val="20"/>
                <w:lang w:val="cs-CZ"/>
              </w:rPr>
              <w:t>Dlouhé palné zbraně</w:t>
            </w:r>
          </w:p>
        </w:tc>
        <w:tc>
          <w:tcPr>
            <w:tcW w:w="1017" w:type="pct"/>
            <w:vAlign w:val="center"/>
          </w:tcPr>
          <w:p w14:paraId="53FA4BA2" w14:textId="470D609C" w:rsidR="007C7737" w:rsidRPr="00027958" w:rsidRDefault="009B31E8" w:rsidP="007C7737">
            <w:pPr>
              <w:pStyle w:val="ClientNormal"/>
              <w:pBdr>
                <w:bottom w:val="single" w:sz="4" w:space="1" w:color="auto"/>
              </w:pBdr>
              <w:spacing w:before="120"/>
              <w:jc w:val="right"/>
              <w:rPr>
                <w:rFonts w:ascii="Atyp Colt CZ" w:eastAsia="Calibri" w:hAnsi="Atyp Colt CZ" w:cs="Calibri"/>
                <w:szCs w:val="20"/>
                <w:lang w:val="cs-CZ"/>
              </w:rPr>
            </w:pPr>
            <w:r w:rsidRPr="00027958">
              <w:rPr>
                <w:rFonts w:ascii="Atyp Colt CZ" w:eastAsia="Calibri" w:hAnsi="Atyp Colt CZ" w:cs="Calibri"/>
                <w:szCs w:val="20"/>
                <w:lang w:val="cs-CZ"/>
              </w:rPr>
              <w:t>48 962</w:t>
            </w:r>
          </w:p>
        </w:tc>
        <w:tc>
          <w:tcPr>
            <w:tcW w:w="1124" w:type="pct"/>
            <w:vAlign w:val="center"/>
          </w:tcPr>
          <w:p w14:paraId="09220FE4" w14:textId="6D752082" w:rsidR="007C7737" w:rsidRPr="00027958" w:rsidRDefault="007C7737" w:rsidP="007C7737">
            <w:pPr>
              <w:pStyle w:val="ClientNormal"/>
              <w:pBdr>
                <w:bottom w:val="single" w:sz="4" w:space="1" w:color="auto"/>
              </w:pBdr>
              <w:spacing w:before="120"/>
              <w:jc w:val="right"/>
              <w:rPr>
                <w:rFonts w:ascii="Atyp Colt CZ" w:hAnsi="Atyp Colt CZ" w:cs="Calibri"/>
                <w:color w:val="000000"/>
                <w:szCs w:val="20"/>
                <w:lang w:val="cs-CZ"/>
              </w:rPr>
            </w:pPr>
            <w:r w:rsidRPr="00027958">
              <w:rPr>
                <w:rFonts w:ascii="Atyp Colt CZ" w:eastAsia="Calibri" w:hAnsi="Atyp Colt CZ" w:cs="Calibri"/>
                <w:szCs w:val="20"/>
                <w:lang w:val="en-US"/>
              </w:rPr>
              <w:t>59 577</w:t>
            </w:r>
          </w:p>
        </w:tc>
        <w:tc>
          <w:tcPr>
            <w:tcW w:w="982" w:type="pct"/>
          </w:tcPr>
          <w:p w14:paraId="26F4AA3C" w14:textId="66FA30FD" w:rsidR="007C7737" w:rsidRPr="00027958" w:rsidRDefault="00DD5212" w:rsidP="007C7737">
            <w:pPr>
              <w:pStyle w:val="ClientNormal"/>
              <w:pBdr>
                <w:bottom w:val="single" w:sz="4" w:space="1" w:color="auto"/>
              </w:pBdr>
              <w:spacing w:before="120"/>
              <w:jc w:val="right"/>
              <w:rPr>
                <w:rFonts w:ascii="Atyp Colt CZ" w:eastAsia="Calibri" w:hAnsi="Atyp Colt CZ" w:cs="Calibri"/>
                <w:szCs w:val="20"/>
                <w:lang w:val="cs-CZ"/>
              </w:rPr>
            </w:pPr>
            <w:r w:rsidRPr="00027958">
              <w:rPr>
                <w:rFonts w:ascii="Atyp Colt CZ" w:eastAsia="Calibri" w:hAnsi="Atyp Colt CZ" w:cs="Calibri"/>
                <w:szCs w:val="20"/>
                <w:lang w:val="cs-CZ"/>
              </w:rPr>
              <w:t>-17,8 %</w:t>
            </w:r>
          </w:p>
        </w:tc>
      </w:tr>
      <w:tr w:rsidR="007C7737" w:rsidRPr="00027958" w14:paraId="3409F100" w14:textId="77777777" w:rsidTr="4B2C601D">
        <w:trPr>
          <w:trHeight w:val="283"/>
        </w:trPr>
        <w:tc>
          <w:tcPr>
            <w:tcW w:w="1877" w:type="pct"/>
          </w:tcPr>
          <w:p w14:paraId="3BAB6A22" w14:textId="77777777" w:rsidR="007C7737" w:rsidRPr="00027958" w:rsidRDefault="007C7737" w:rsidP="007C7737">
            <w:pPr>
              <w:pStyle w:val="ClientNormal"/>
              <w:tabs>
                <w:tab w:val="left" w:leader="dot" w:pos="5264"/>
              </w:tabs>
              <w:spacing w:before="120"/>
              <w:rPr>
                <w:rFonts w:ascii="Atyp Colt CZ" w:hAnsi="Atyp Colt CZ" w:cs="Calibri"/>
                <w:b/>
                <w:bCs/>
                <w:szCs w:val="20"/>
                <w:lang w:val="cs-CZ"/>
              </w:rPr>
            </w:pPr>
            <w:r w:rsidRPr="00027958">
              <w:rPr>
                <w:rFonts w:ascii="Atyp Colt CZ" w:hAnsi="Atyp Colt CZ" w:cs="Calibri"/>
                <w:b/>
                <w:bCs/>
                <w:szCs w:val="20"/>
                <w:lang w:val="cs-CZ"/>
              </w:rPr>
              <w:t>Palné zbraně celkem</w:t>
            </w:r>
          </w:p>
        </w:tc>
        <w:tc>
          <w:tcPr>
            <w:tcW w:w="1017" w:type="pct"/>
            <w:vAlign w:val="center"/>
          </w:tcPr>
          <w:p w14:paraId="3A135FA9" w14:textId="4A1969E8" w:rsidR="007C7737" w:rsidRPr="00027958" w:rsidRDefault="00DD5212" w:rsidP="007C7737">
            <w:pPr>
              <w:pStyle w:val="ClientNormal"/>
              <w:pBdr>
                <w:bottom w:val="double" w:sz="4" w:space="1" w:color="auto"/>
              </w:pBdr>
              <w:spacing w:before="120"/>
              <w:jc w:val="right"/>
              <w:rPr>
                <w:rFonts w:ascii="Atyp Colt CZ" w:eastAsia="Calibri" w:hAnsi="Atyp Colt CZ" w:cs="Calibri"/>
                <w:b/>
                <w:bCs/>
                <w:szCs w:val="20"/>
                <w:lang w:val="cs-CZ"/>
              </w:rPr>
            </w:pPr>
            <w:r w:rsidRPr="00027958">
              <w:rPr>
                <w:rFonts w:ascii="Atyp Colt CZ" w:eastAsia="Calibri" w:hAnsi="Atyp Colt CZ" w:cs="Calibri"/>
                <w:b/>
                <w:bCs/>
                <w:szCs w:val="20"/>
                <w:lang w:val="cs-CZ"/>
              </w:rPr>
              <w:t>122 787</w:t>
            </w:r>
          </w:p>
        </w:tc>
        <w:tc>
          <w:tcPr>
            <w:tcW w:w="1124" w:type="pct"/>
            <w:vAlign w:val="center"/>
          </w:tcPr>
          <w:p w14:paraId="701243F5" w14:textId="0FFED117" w:rsidR="007C7737" w:rsidRPr="00027958" w:rsidRDefault="007C7737" w:rsidP="007C7737">
            <w:pPr>
              <w:pStyle w:val="ClientNormal"/>
              <w:pBdr>
                <w:bottom w:val="double" w:sz="4" w:space="1" w:color="auto"/>
              </w:pBdr>
              <w:spacing w:before="120"/>
              <w:jc w:val="right"/>
              <w:rPr>
                <w:rFonts w:ascii="Atyp Colt CZ" w:hAnsi="Atyp Colt CZ" w:cs="Calibri"/>
                <w:b/>
                <w:bCs/>
                <w:color w:val="000000"/>
                <w:szCs w:val="20"/>
                <w:lang w:val="cs-CZ"/>
              </w:rPr>
            </w:pPr>
            <w:r w:rsidRPr="00027958">
              <w:rPr>
                <w:rFonts w:ascii="Atyp Colt CZ" w:eastAsia="Calibri" w:hAnsi="Atyp Colt CZ" w:cs="Calibri"/>
                <w:b/>
                <w:bCs/>
                <w:szCs w:val="20"/>
                <w:lang w:val="en-US"/>
              </w:rPr>
              <w:t>157 363</w:t>
            </w:r>
          </w:p>
        </w:tc>
        <w:tc>
          <w:tcPr>
            <w:tcW w:w="982" w:type="pct"/>
            <w:vAlign w:val="center"/>
          </w:tcPr>
          <w:p w14:paraId="6A149E4D" w14:textId="0B375E78" w:rsidR="007C7737" w:rsidRPr="00027958" w:rsidRDefault="492A9884" w:rsidP="4B2C601D">
            <w:pPr>
              <w:pStyle w:val="ClientNormal"/>
              <w:pBdr>
                <w:bottom w:val="double" w:sz="4" w:space="1" w:color="auto"/>
              </w:pBdr>
              <w:spacing w:before="120"/>
              <w:jc w:val="right"/>
              <w:rPr>
                <w:rFonts w:ascii="Atyp Colt CZ" w:eastAsia="Calibri" w:hAnsi="Atyp Colt CZ" w:cs="Calibri"/>
                <w:b/>
                <w:bCs/>
                <w:lang w:val="cs-CZ"/>
              </w:rPr>
            </w:pPr>
            <w:r w:rsidRPr="4B2C601D">
              <w:rPr>
                <w:rFonts w:ascii="Atyp Colt CZ" w:eastAsia="Calibri" w:hAnsi="Atyp Colt CZ" w:cs="Calibri"/>
                <w:b/>
                <w:bCs/>
                <w:lang w:val="cs-CZ"/>
              </w:rPr>
              <w:t>-22,0</w:t>
            </w:r>
            <w:r w:rsidR="4DCF8D67" w:rsidRPr="4B2C601D">
              <w:rPr>
                <w:rFonts w:ascii="Atyp Colt CZ" w:eastAsia="Calibri" w:hAnsi="Atyp Colt CZ" w:cs="Calibri"/>
                <w:b/>
                <w:bCs/>
                <w:lang w:val="cs-CZ"/>
              </w:rPr>
              <w:t xml:space="preserve"> </w:t>
            </w:r>
            <w:r w:rsidRPr="4B2C601D">
              <w:rPr>
                <w:rFonts w:ascii="Atyp Colt CZ" w:eastAsia="Calibri" w:hAnsi="Atyp Colt CZ" w:cs="Calibri"/>
                <w:b/>
                <w:bCs/>
                <w:lang w:val="cs-CZ"/>
              </w:rPr>
              <w:t>%</w:t>
            </w:r>
          </w:p>
        </w:tc>
      </w:tr>
    </w:tbl>
    <w:p w14:paraId="196D3F06" w14:textId="77777777" w:rsidR="00A521E6" w:rsidRPr="00027958" w:rsidRDefault="00A521E6">
      <w:pPr>
        <w:spacing w:before="0" w:after="0"/>
        <w:jc w:val="left"/>
        <w:rPr>
          <w:rFonts w:eastAsiaTheme="minorEastAsia" w:cs="Calibri"/>
          <w:szCs w:val="20"/>
        </w:rPr>
      </w:pPr>
    </w:p>
    <w:p w14:paraId="59963C64" w14:textId="4A516FB6" w:rsidR="00A56BB8" w:rsidRPr="00027958" w:rsidRDefault="00B34819" w:rsidP="008318F7">
      <w:pPr>
        <w:spacing w:before="0" w:after="0" w:line="276" w:lineRule="auto"/>
        <w:rPr>
          <w:rFonts w:eastAsiaTheme="minorEastAsia" w:cs="Calibri"/>
        </w:rPr>
      </w:pPr>
      <w:r w:rsidRPr="5FAC94B9">
        <w:rPr>
          <w:rFonts w:eastAsiaTheme="minorEastAsia" w:cs="Calibri"/>
        </w:rPr>
        <w:t>I přes pokles prodaných kusů zbraní</w:t>
      </w:r>
      <w:r w:rsidR="00E51E9F" w:rsidRPr="5FAC94B9">
        <w:rPr>
          <w:rFonts w:eastAsiaTheme="minorEastAsia" w:cs="Calibri"/>
        </w:rPr>
        <w:t xml:space="preserve"> činily</w:t>
      </w:r>
      <w:r w:rsidRPr="5FAC94B9">
        <w:rPr>
          <w:rFonts w:eastAsiaTheme="minorEastAsia" w:cs="Calibri"/>
        </w:rPr>
        <w:t xml:space="preserve"> v</w:t>
      </w:r>
      <w:r w:rsidR="0025214A" w:rsidRPr="5FAC94B9">
        <w:rPr>
          <w:rFonts w:eastAsiaTheme="minorEastAsia" w:cs="Calibri"/>
        </w:rPr>
        <w:t xml:space="preserve">ýnosy segmentu palných zbraní </w:t>
      </w:r>
      <w:r w:rsidR="00690062" w:rsidRPr="5FAC94B9">
        <w:rPr>
          <w:rFonts w:cs="Calibri"/>
        </w:rPr>
        <w:t>za první čtvrtletí roku 202</w:t>
      </w:r>
      <w:r w:rsidR="007C7737" w:rsidRPr="5FAC94B9">
        <w:rPr>
          <w:rFonts w:cs="Calibri"/>
        </w:rPr>
        <w:t>6</w:t>
      </w:r>
      <w:r w:rsidR="00690062" w:rsidRPr="5FAC94B9">
        <w:rPr>
          <w:rFonts w:cs="Calibri"/>
        </w:rPr>
        <w:t xml:space="preserve"> </w:t>
      </w:r>
      <w:r w:rsidR="00C07641" w:rsidRPr="5FAC94B9">
        <w:rPr>
          <w:rFonts w:eastAsiaTheme="minorEastAsia" w:cs="Calibri"/>
        </w:rPr>
        <w:t xml:space="preserve">celkem </w:t>
      </w:r>
      <w:r w:rsidR="007C7737" w:rsidRPr="5FAC94B9">
        <w:rPr>
          <w:rFonts w:eastAsiaTheme="minorEastAsia" w:cs="Calibri"/>
        </w:rPr>
        <w:t>3,5</w:t>
      </w:r>
      <w:r w:rsidR="0025214A" w:rsidRPr="5FAC94B9">
        <w:rPr>
          <w:rFonts w:eastAsiaTheme="minorEastAsia" w:cs="Calibri"/>
        </w:rPr>
        <w:t xml:space="preserve"> mld. Kč</w:t>
      </w:r>
      <w:r w:rsidR="007C7737" w:rsidRPr="5FAC94B9">
        <w:rPr>
          <w:rFonts w:eastAsiaTheme="minorEastAsia" w:cs="Calibri"/>
        </w:rPr>
        <w:t>, meziročně o 23,3</w:t>
      </w:r>
      <w:r w:rsidR="00A2513F" w:rsidRPr="5FAC94B9">
        <w:rPr>
          <w:rFonts w:eastAsiaTheme="minorEastAsia" w:cs="Calibri"/>
        </w:rPr>
        <w:t xml:space="preserve"> </w:t>
      </w:r>
      <w:r w:rsidR="007C7737" w:rsidRPr="5FAC94B9">
        <w:rPr>
          <w:rFonts w:eastAsiaTheme="minorEastAsia" w:cs="Calibri"/>
        </w:rPr>
        <w:t>% více</w:t>
      </w:r>
      <w:r w:rsidR="0025214A" w:rsidRPr="5FAC94B9">
        <w:rPr>
          <w:rFonts w:eastAsiaTheme="minorEastAsia" w:cs="Calibri"/>
        </w:rPr>
        <w:t xml:space="preserve">, především </w:t>
      </w:r>
      <w:r w:rsidR="00CF5681" w:rsidRPr="5FAC94B9">
        <w:rPr>
          <w:rFonts w:eastAsiaTheme="minorEastAsia" w:cs="Calibri"/>
        </w:rPr>
        <w:t xml:space="preserve">díky </w:t>
      </w:r>
      <w:r w:rsidR="0025214A" w:rsidRPr="5FAC94B9">
        <w:rPr>
          <w:rFonts w:eastAsiaTheme="minorEastAsia" w:cs="Calibri"/>
        </w:rPr>
        <w:t>příznivému prodejnímu mixu</w:t>
      </w:r>
      <w:r w:rsidR="00FA714F" w:rsidRPr="5FAC94B9">
        <w:rPr>
          <w:rFonts w:eastAsiaTheme="minorEastAsia" w:cs="Calibri"/>
        </w:rPr>
        <w:t xml:space="preserve"> a novým kontraktům v segmentu ozbrojených složek</w:t>
      </w:r>
      <w:r w:rsidR="0025214A" w:rsidRPr="5FAC94B9">
        <w:rPr>
          <w:rFonts w:eastAsiaTheme="minorEastAsia" w:cs="Calibri"/>
        </w:rPr>
        <w:t>.</w:t>
      </w:r>
      <w:r w:rsidR="00FA714F" w:rsidRPr="5FAC94B9">
        <w:rPr>
          <w:rFonts w:eastAsiaTheme="minorEastAsia" w:cs="Calibri"/>
        </w:rPr>
        <w:t xml:space="preserve"> Z pohledu ziskovosti </w:t>
      </w:r>
      <w:r w:rsidR="00CF5681" w:rsidRPr="5FAC94B9">
        <w:rPr>
          <w:rFonts w:eastAsiaTheme="minorEastAsia" w:cs="Calibri"/>
        </w:rPr>
        <w:t xml:space="preserve">činila </w:t>
      </w:r>
      <w:r w:rsidRPr="5FAC94B9">
        <w:rPr>
          <w:rFonts w:eastAsiaTheme="minorEastAsia" w:cs="Calibri"/>
        </w:rPr>
        <w:t xml:space="preserve">marže upravené </w:t>
      </w:r>
      <w:r w:rsidR="00FA714F" w:rsidRPr="5FAC94B9">
        <w:rPr>
          <w:rFonts w:eastAsiaTheme="minorEastAsia" w:cs="Calibri"/>
        </w:rPr>
        <w:t xml:space="preserve">EBITDA </w:t>
      </w:r>
      <w:r w:rsidR="00CF5681" w:rsidRPr="5FAC94B9">
        <w:rPr>
          <w:rFonts w:eastAsiaTheme="minorEastAsia" w:cs="Calibri"/>
        </w:rPr>
        <w:t xml:space="preserve">v </w:t>
      </w:r>
      <w:r w:rsidR="00FA714F" w:rsidRPr="5FAC94B9">
        <w:rPr>
          <w:rFonts w:eastAsiaTheme="minorEastAsia" w:cs="Calibri"/>
        </w:rPr>
        <w:t xml:space="preserve">segmentu palných zbraní </w:t>
      </w:r>
      <w:r w:rsidR="009D5331" w:rsidRPr="5FAC94B9">
        <w:rPr>
          <w:rFonts w:eastAsiaTheme="minorEastAsia" w:cs="Calibri"/>
        </w:rPr>
        <w:t xml:space="preserve">14,6 % </w:t>
      </w:r>
      <w:r w:rsidR="00FA714F" w:rsidRPr="5FAC94B9">
        <w:rPr>
          <w:rFonts w:eastAsiaTheme="minorEastAsia" w:cs="Calibri"/>
        </w:rPr>
        <w:t xml:space="preserve">v prvním čtvrtletí 2026. </w:t>
      </w:r>
    </w:p>
    <w:p w14:paraId="5203DE38" w14:textId="77777777" w:rsidR="0074413E" w:rsidRPr="00027958" w:rsidRDefault="0074413E" w:rsidP="008318F7">
      <w:pPr>
        <w:pStyle w:val="Odstavecseseznamem"/>
        <w:numPr>
          <w:ilvl w:val="0"/>
          <w:numId w:val="17"/>
        </w:numPr>
        <w:spacing w:before="240" w:after="0" w:line="276" w:lineRule="auto"/>
        <w:rPr>
          <w:rFonts w:eastAsia="Calibri"/>
          <w:i/>
          <w:iCs/>
        </w:rPr>
      </w:pPr>
      <w:r w:rsidRPr="5FAC94B9">
        <w:rPr>
          <w:rFonts w:eastAsia="Calibri"/>
          <w:i/>
          <w:iCs/>
        </w:rPr>
        <w:t xml:space="preserve">Segment munice </w:t>
      </w:r>
    </w:p>
    <w:p w14:paraId="739D6B3C" w14:textId="77777777" w:rsidR="00792E9F" w:rsidRDefault="00E74D35" w:rsidP="008318F7">
      <w:pPr>
        <w:spacing w:before="240" w:line="276" w:lineRule="auto"/>
        <w:rPr>
          <w:rFonts w:eastAsiaTheme="minorEastAsia" w:cs="Calibri"/>
          <w:i/>
          <w:iCs/>
          <w:color w:val="595959" w:themeColor="text1" w:themeTint="A6"/>
        </w:rPr>
      </w:pPr>
      <w:r w:rsidRPr="00E74D35">
        <w:rPr>
          <w:rFonts w:eastAsiaTheme="minorEastAsia" w:cs="Calibri"/>
          <w:i/>
          <w:iCs/>
          <w:color w:val="595959" w:themeColor="text1" w:themeTint="A6"/>
        </w:rPr>
        <w:t>Segment munice zahrnuje vývoj, výrobu a prodej malorážného střeliva včetně nábojů do pistolí a pušek pro ozbrojené složky, sportovní střelbu a lov. Výroba brokových nábojů doplňuje produktové portfolio malorážného střeliva. V segmentu munice je také zahrnuta výroba a prodej granátů, ostatního vojenského materiálu a výroba muničních strojů včetně vývoje</w:t>
      </w:r>
      <w:r w:rsidR="00792E9F">
        <w:rPr>
          <w:rFonts w:eastAsiaTheme="minorEastAsia" w:cs="Calibri"/>
          <w:i/>
          <w:iCs/>
          <w:color w:val="595959" w:themeColor="text1" w:themeTint="A6"/>
        </w:rPr>
        <w:t>.</w:t>
      </w:r>
    </w:p>
    <w:p w14:paraId="7EB1A56B" w14:textId="65908078" w:rsidR="0074413E" w:rsidRPr="00027958" w:rsidRDefault="0074413E" w:rsidP="008318F7">
      <w:pPr>
        <w:spacing w:before="240" w:line="276" w:lineRule="auto"/>
        <w:rPr>
          <w:rFonts w:eastAsiaTheme="minorEastAsia" w:cs="Calibri"/>
        </w:rPr>
      </w:pPr>
      <w:r w:rsidRPr="5FAC94B9">
        <w:rPr>
          <w:rFonts w:eastAsiaTheme="minorEastAsia" w:cs="Calibri"/>
        </w:rPr>
        <w:t>Do segmentu munice Společnost řadí výnosy dceřiných společností Sellier &amp; Bellot</w:t>
      </w:r>
      <w:r w:rsidR="007C7737" w:rsidRPr="5FAC94B9">
        <w:rPr>
          <w:rFonts w:eastAsiaTheme="minorEastAsia" w:cs="Calibri"/>
        </w:rPr>
        <w:t xml:space="preserve">, </w:t>
      </w:r>
      <w:r w:rsidRPr="5FAC94B9">
        <w:rPr>
          <w:rFonts w:eastAsiaTheme="minorEastAsia" w:cs="Calibri"/>
        </w:rPr>
        <w:t xml:space="preserve">swissAA a příslušnou část výnosů společnosti Colt CZ Defence Solutions. V segmentu munice Společnost dosáhla </w:t>
      </w:r>
      <w:r w:rsidR="00690062" w:rsidRPr="5FAC94B9">
        <w:rPr>
          <w:rFonts w:cs="Calibri"/>
        </w:rPr>
        <w:t>za první čtvrtletí roku 202</w:t>
      </w:r>
      <w:r w:rsidR="007C7737" w:rsidRPr="5FAC94B9">
        <w:rPr>
          <w:rFonts w:cs="Calibri"/>
        </w:rPr>
        <w:t>6</w:t>
      </w:r>
      <w:r w:rsidR="00690062" w:rsidRPr="5FAC94B9">
        <w:rPr>
          <w:rFonts w:cs="Calibri"/>
        </w:rPr>
        <w:t xml:space="preserve"> </w:t>
      </w:r>
      <w:r w:rsidRPr="5FAC94B9">
        <w:rPr>
          <w:rFonts w:eastAsiaTheme="minorEastAsia" w:cs="Calibri"/>
        </w:rPr>
        <w:t xml:space="preserve">výnosů ve výši </w:t>
      </w:r>
      <w:r w:rsidR="00690062" w:rsidRPr="5FAC94B9">
        <w:rPr>
          <w:rFonts w:eastAsiaTheme="minorEastAsia" w:cs="Calibri"/>
        </w:rPr>
        <w:t>2,</w:t>
      </w:r>
      <w:r w:rsidR="007C7737" w:rsidRPr="5FAC94B9">
        <w:rPr>
          <w:rFonts w:eastAsiaTheme="minorEastAsia" w:cs="Calibri"/>
        </w:rPr>
        <w:t>3</w:t>
      </w:r>
      <w:r w:rsidRPr="5FAC94B9">
        <w:rPr>
          <w:rFonts w:eastAsiaTheme="minorEastAsia" w:cs="Calibri"/>
        </w:rPr>
        <w:t xml:space="preserve"> m</w:t>
      </w:r>
      <w:r w:rsidR="13001EEB" w:rsidRPr="5FAC94B9">
        <w:rPr>
          <w:rFonts w:eastAsiaTheme="minorEastAsia" w:cs="Calibri"/>
        </w:rPr>
        <w:t>ld.</w:t>
      </w:r>
      <w:r w:rsidRPr="5FAC94B9">
        <w:rPr>
          <w:rFonts w:eastAsiaTheme="minorEastAsia" w:cs="Calibri"/>
        </w:rPr>
        <w:t xml:space="preserve"> Kč</w:t>
      </w:r>
      <w:r w:rsidR="007C7737" w:rsidRPr="5FAC94B9">
        <w:rPr>
          <w:rFonts w:eastAsiaTheme="minorEastAsia" w:cs="Calibri"/>
        </w:rPr>
        <w:t>, meziročně o 14,2</w:t>
      </w:r>
      <w:r w:rsidR="00A2513F" w:rsidRPr="5FAC94B9">
        <w:rPr>
          <w:rFonts w:eastAsiaTheme="minorEastAsia" w:cs="Calibri"/>
        </w:rPr>
        <w:t xml:space="preserve"> </w:t>
      </w:r>
      <w:r w:rsidR="007C7737" w:rsidRPr="5FAC94B9">
        <w:rPr>
          <w:rFonts w:eastAsiaTheme="minorEastAsia" w:cs="Calibri"/>
        </w:rPr>
        <w:lastRenderedPageBreak/>
        <w:t>% méně</w:t>
      </w:r>
      <w:r w:rsidR="00903BD8" w:rsidRPr="5FAC94B9">
        <w:rPr>
          <w:rFonts w:eastAsiaTheme="minorEastAsia" w:cs="Calibri"/>
        </w:rPr>
        <w:t>,</w:t>
      </w:r>
      <w:r w:rsidR="00645127" w:rsidRPr="5FAC94B9">
        <w:rPr>
          <w:rFonts w:eastAsiaTheme="minorEastAsia" w:cs="Calibri"/>
        </w:rPr>
        <w:t xml:space="preserve"> a to především z důvodu </w:t>
      </w:r>
      <w:r w:rsidR="00CF327D" w:rsidRPr="5FAC94B9">
        <w:rPr>
          <w:rFonts w:eastAsiaTheme="minorEastAsia" w:cs="Calibri"/>
        </w:rPr>
        <w:t xml:space="preserve">poklesu prodejů v rámci české muniční iniciativy a také </w:t>
      </w:r>
      <w:r w:rsidR="00645127" w:rsidRPr="5FAC94B9">
        <w:rPr>
          <w:rFonts w:eastAsiaTheme="minorEastAsia" w:cs="Calibri"/>
        </w:rPr>
        <w:t>negativní</w:t>
      </w:r>
      <w:r w:rsidR="00B00EFF" w:rsidRPr="5FAC94B9">
        <w:rPr>
          <w:rFonts w:eastAsiaTheme="minorEastAsia" w:cs="Calibri"/>
        </w:rPr>
        <w:t>ho</w:t>
      </w:r>
      <w:r w:rsidR="00645127" w:rsidRPr="5FAC94B9">
        <w:rPr>
          <w:rFonts w:eastAsiaTheme="minorEastAsia" w:cs="Calibri"/>
        </w:rPr>
        <w:t xml:space="preserve"> </w:t>
      </w:r>
      <w:r w:rsidR="00CF327D" w:rsidRPr="5FAC94B9">
        <w:rPr>
          <w:rFonts w:eastAsiaTheme="minorEastAsia" w:cs="Calibri"/>
        </w:rPr>
        <w:t>vývoje</w:t>
      </w:r>
      <w:r w:rsidR="00645127" w:rsidRPr="5FAC94B9">
        <w:rPr>
          <w:rFonts w:eastAsiaTheme="minorEastAsia" w:cs="Calibri"/>
        </w:rPr>
        <w:t xml:space="preserve"> měnových kurzů</w:t>
      </w:r>
      <w:r w:rsidR="00AC60C9" w:rsidRPr="5FAC94B9">
        <w:rPr>
          <w:rFonts w:eastAsiaTheme="minorEastAsia" w:cs="Calibri"/>
        </w:rPr>
        <w:t>.</w:t>
      </w:r>
      <w:r w:rsidR="001D6E5F" w:rsidRPr="5FAC94B9">
        <w:rPr>
          <w:rFonts w:eastAsiaTheme="minorEastAsia" w:cs="Calibri"/>
        </w:rPr>
        <w:t xml:space="preserve"> Navzdory poklesu výnosů </w:t>
      </w:r>
      <w:r w:rsidR="00FA714F" w:rsidRPr="5FAC94B9">
        <w:rPr>
          <w:rFonts w:eastAsiaTheme="minorEastAsia" w:cs="Calibri"/>
        </w:rPr>
        <w:t>dosahuje segment munice silné ziskovosti</w:t>
      </w:r>
      <w:r w:rsidR="00CF5681" w:rsidRPr="5FAC94B9">
        <w:rPr>
          <w:rFonts w:eastAsiaTheme="minorEastAsia" w:cs="Calibri"/>
        </w:rPr>
        <w:t>. M</w:t>
      </w:r>
      <w:r w:rsidR="00B34819" w:rsidRPr="5FAC94B9">
        <w:rPr>
          <w:rFonts w:eastAsiaTheme="minorEastAsia" w:cs="Calibri"/>
        </w:rPr>
        <w:t xml:space="preserve">arže upravené </w:t>
      </w:r>
      <w:r w:rsidR="00FA714F" w:rsidRPr="5FAC94B9">
        <w:rPr>
          <w:rFonts w:eastAsiaTheme="minorEastAsia" w:cs="Calibri"/>
        </w:rPr>
        <w:t xml:space="preserve">EBITDA činila 33,6 % a překonala tak </w:t>
      </w:r>
      <w:r w:rsidR="00B34819" w:rsidRPr="5FAC94B9">
        <w:rPr>
          <w:rFonts w:eastAsiaTheme="minorEastAsia" w:cs="Calibri"/>
        </w:rPr>
        <w:t xml:space="preserve">marži upravené </w:t>
      </w:r>
      <w:r w:rsidR="00FA714F" w:rsidRPr="5FAC94B9">
        <w:rPr>
          <w:rFonts w:eastAsiaTheme="minorEastAsia" w:cs="Calibri"/>
        </w:rPr>
        <w:t>EBITDA celé Skupiny o téměř 5</w:t>
      </w:r>
      <w:r w:rsidR="003D1E6D" w:rsidRPr="5FAC94B9">
        <w:rPr>
          <w:rFonts w:eastAsiaTheme="minorEastAsia" w:cs="Calibri"/>
        </w:rPr>
        <w:t xml:space="preserve"> </w:t>
      </w:r>
      <w:r w:rsidR="00FA714F" w:rsidRPr="5FAC94B9">
        <w:rPr>
          <w:rFonts w:eastAsiaTheme="minorEastAsia" w:cs="Calibri"/>
        </w:rPr>
        <w:t>procentních bodů.</w:t>
      </w:r>
    </w:p>
    <w:p w14:paraId="6D0B3F70" w14:textId="5F73991F" w:rsidR="007C7737" w:rsidRPr="00027958" w:rsidRDefault="007C7737" w:rsidP="008318F7">
      <w:pPr>
        <w:pStyle w:val="Odstavecseseznamem"/>
        <w:numPr>
          <w:ilvl w:val="0"/>
          <w:numId w:val="17"/>
        </w:numPr>
        <w:spacing w:before="240" w:after="0" w:line="276" w:lineRule="auto"/>
        <w:rPr>
          <w:rFonts w:eastAsia="Calibri"/>
          <w:i/>
          <w:iCs/>
        </w:rPr>
      </w:pPr>
      <w:r w:rsidRPr="5FAC94B9">
        <w:rPr>
          <w:rFonts w:eastAsia="Calibri"/>
          <w:i/>
          <w:iCs/>
        </w:rPr>
        <w:t>Segment energetických materiálů</w:t>
      </w:r>
    </w:p>
    <w:p w14:paraId="1916FED4" w14:textId="392CE98B" w:rsidR="00964971" w:rsidRPr="00964971" w:rsidRDefault="007C7737" w:rsidP="008318F7">
      <w:pPr>
        <w:spacing w:before="240" w:line="276" w:lineRule="auto"/>
        <w:rPr>
          <w:rFonts w:eastAsiaTheme="minorEastAsia" w:cs="Calibri"/>
          <w:i/>
          <w:iCs/>
          <w:color w:val="595959" w:themeColor="text1" w:themeTint="A6"/>
        </w:rPr>
      </w:pPr>
      <w:r w:rsidRPr="5FAC94B9">
        <w:rPr>
          <w:rFonts w:eastAsiaTheme="minorEastAsia" w:cs="Calibri"/>
          <w:i/>
          <w:iCs/>
          <w:color w:val="595959" w:themeColor="text1" w:themeTint="A6"/>
        </w:rPr>
        <w:t xml:space="preserve">Segment </w:t>
      </w:r>
      <w:r w:rsidR="00645127" w:rsidRPr="5FAC94B9">
        <w:rPr>
          <w:rFonts w:eastAsiaTheme="minorEastAsia" w:cs="Calibri"/>
          <w:i/>
          <w:iCs/>
          <w:color w:val="595959" w:themeColor="text1" w:themeTint="A6"/>
        </w:rPr>
        <w:t>e</w:t>
      </w:r>
      <w:r w:rsidRPr="5FAC94B9">
        <w:rPr>
          <w:rFonts w:eastAsiaTheme="minorEastAsia" w:cs="Calibri"/>
          <w:i/>
          <w:iCs/>
          <w:color w:val="595959" w:themeColor="text1" w:themeTint="A6"/>
        </w:rPr>
        <w:t xml:space="preserve">nergetických materiálů </w:t>
      </w:r>
      <w:r w:rsidR="00964971" w:rsidRPr="5FAC94B9">
        <w:rPr>
          <w:rFonts w:eastAsiaTheme="minorEastAsia" w:cs="Calibri"/>
          <w:i/>
          <w:iCs/>
          <w:color w:val="595959" w:themeColor="text1" w:themeTint="A6"/>
        </w:rPr>
        <w:t>zahrnuje vývoj, výrobu a prodej energetické nitrocelulózy používané zejména pro výrobu střelných prachů a výmetných náloží pro munici, dále průmyslové nitrocelulózy, oxycelulózy pro zdravotnické použití a vybraných chemických produktů. Segment zahrnuje také výrobu a dodávky energií pro průmyslový areál v Semtíně a Rybitví.</w:t>
      </w:r>
    </w:p>
    <w:p w14:paraId="254CFC0C" w14:textId="4158B7CD" w:rsidR="007C7737" w:rsidRPr="00027958" w:rsidRDefault="007C7737" w:rsidP="008318F7">
      <w:pPr>
        <w:spacing w:before="240" w:line="276" w:lineRule="auto"/>
        <w:rPr>
          <w:rFonts w:eastAsiaTheme="minorEastAsia" w:cs="Calibri"/>
        </w:rPr>
      </w:pPr>
      <w:r w:rsidRPr="00A93D6B">
        <w:rPr>
          <w:rFonts w:eastAsiaTheme="minorEastAsia" w:cs="Calibri"/>
        </w:rPr>
        <w:t xml:space="preserve">Segment </w:t>
      </w:r>
      <w:r w:rsidR="00645127" w:rsidRPr="00A93D6B">
        <w:rPr>
          <w:rFonts w:eastAsiaTheme="minorEastAsia" w:cs="Calibri"/>
        </w:rPr>
        <w:t>e</w:t>
      </w:r>
      <w:r w:rsidRPr="00A93D6B">
        <w:rPr>
          <w:rFonts w:eastAsiaTheme="minorEastAsia" w:cs="Calibri"/>
        </w:rPr>
        <w:t>nergetických materiálů dosáhl za 1. čtvrtletí 2026 výnosů 1,5 mld. Kč</w:t>
      </w:r>
      <w:r w:rsidR="00F805A8" w:rsidRPr="00A93D6B">
        <w:rPr>
          <w:rFonts w:eastAsiaTheme="minorEastAsia" w:cs="Calibri"/>
        </w:rPr>
        <w:t>, o 25,3 % více oproti stejnému období v roce 2025</w:t>
      </w:r>
      <w:r w:rsidRPr="00A93D6B">
        <w:rPr>
          <w:rFonts w:eastAsiaTheme="minorEastAsia" w:cs="Calibri"/>
        </w:rPr>
        <w:t>.</w:t>
      </w:r>
      <w:r w:rsidR="00B34819" w:rsidRPr="00A93D6B">
        <w:rPr>
          <w:rFonts w:eastAsiaTheme="minorEastAsia" w:cs="Calibri"/>
        </w:rPr>
        <w:t xml:space="preserve"> Dle očekávání vykázal segment energetických materiálů silnou ziskovost. Ukazatel upravené EBITDA činil 803 mil. Kč a marže upravené EBITDA 52,5 % v prvním čtvrtletí 2026.</w:t>
      </w:r>
    </w:p>
    <w:p w14:paraId="7C6F5E98" w14:textId="19FB9896" w:rsidR="004813A9" w:rsidRPr="00027958" w:rsidRDefault="004813A9" w:rsidP="008318F7">
      <w:pPr>
        <w:spacing w:before="240" w:line="276" w:lineRule="auto"/>
        <w:rPr>
          <w:rFonts w:eastAsiaTheme="minorEastAsia" w:cs="Calibri"/>
          <w:b/>
          <w:bCs/>
        </w:rPr>
      </w:pPr>
      <w:r w:rsidRPr="5FAC94B9">
        <w:rPr>
          <w:rFonts w:eastAsiaTheme="minorEastAsia" w:cs="Calibri"/>
          <w:b/>
          <w:bCs/>
        </w:rPr>
        <w:t xml:space="preserve">EBITDA a </w:t>
      </w:r>
      <w:r w:rsidR="001412A2" w:rsidRPr="5FAC94B9">
        <w:rPr>
          <w:rFonts w:eastAsiaTheme="minorEastAsia" w:cs="Calibri"/>
          <w:b/>
          <w:bCs/>
        </w:rPr>
        <w:t xml:space="preserve">upravená </w:t>
      </w:r>
      <w:r w:rsidRPr="5FAC94B9">
        <w:rPr>
          <w:rFonts w:eastAsiaTheme="minorEastAsia" w:cs="Calibri"/>
          <w:b/>
          <w:bCs/>
        </w:rPr>
        <w:t>EBITDA</w:t>
      </w:r>
      <w:r w:rsidRPr="5FAC94B9">
        <w:rPr>
          <w:rStyle w:val="Znakapoznpodarou"/>
          <w:rFonts w:eastAsiaTheme="minorEastAsia" w:cs="Calibri"/>
          <w:b/>
          <w:bCs/>
        </w:rPr>
        <w:footnoteReference w:id="3"/>
      </w:r>
    </w:p>
    <w:p w14:paraId="3BDBB7C4" w14:textId="27B0D093" w:rsidR="0025214A" w:rsidRPr="00027958" w:rsidRDefault="001C60E2" w:rsidP="008318F7">
      <w:pPr>
        <w:pStyle w:val="Odrazka1"/>
        <w:numPr>
          <w:ilvl w:val="0"/>
          <w:numId w:val="0"/>
        </w:numPr>
        <w:spacing w:line="276" w:lineRule="auto"/>
        <w:rPr>
          <w:rFonts w:eastAsiaTheme="minorEastAsia" w:cs="Calibri"/>
        </w:rPr>
      </w:pPr>
      <w:r w:rsidRPr="5FAC94B9">
        <w:rPr>
          <w:rFonts w:eastAsiaTheme="minorEastAsia" w:cs="Calibri"/>
        </w:rPr>
        <w:t xml:space="preserve">Ukazatel EBITDA Skupiny </w:t>
      </w:r>
      <w:r w:rsidR="00BF3714" w:rsidRPr="5FAC94B9">
        <w:rPr>
          <w:rFonts w:eastAsiaTheme="minorEastAsia" w:cs="Calibri"/>
        </w:rPr>
        <w:t xml:space="preserve">(včetně jednorázových položek) </w:t>
      </w:r>
      <w:r w:rsidRPr="5FAC94B9">
        <w:rPr>
          <w:rFonts w:eastAsiaTheme="minorEastAsia" w:cs="Calibri"/>
        </w:rPr>
        <w:t xml:space="preserve">se </w:t>
      </w:r>
      <w:r w:rsidR="00BF3714" w:rsidRPr="5FAC94B9">
        <w:rPr>
          <w:rFonts w:cs="Calibri"/>
        </w:rPr>
        <w:t>za první tři měsíce roku 202</w:t>
      </w:r>
      <w:r w:rsidR="003D4760" w:rsidRPr="5FAC94B9">
        <w:rPr>
          <w:rFonts w:cs="Calibri"/>
        </w:rPr>
        <w:t>6</w:t>
      </w:r>
      <w:r w:rsidR="00BF3714" w:rsidRPr="5FAC94B9">
        <w:rPr>
          <w:rFonts w:cs="Calibri"/>
        </w:rPr>
        <w:t xml:space="preserve"> </w:t>
      </w:r>
      <w:r w:rsidR="0025214A" w:rsidRPr="5FAC94B9">
        <w:rPr>
          <w:rFonts w:eastAsiaTheme="minorEastAsia" w:cs="Calibri"/>
        </w:rPr>
        <w:t>zvýšil</w:t>
      </w:r>
      <w:r w:rsidRPr="5FAC94B9">
        <w:rPr>
          <w:rFonts w:eastAsiaTheme="minorEastAsia" w:cs="Calibri"/>
        </w:rPr>
        <w:t xml:space="preserve"> ve srovnání </w:t>
      </w:r>
      <w:r w:rsidR="00BF3714" w:rsidRPr="5FAC94B9">
        <w:rPr>
          <w:rFonts w:eastAsiaTheme="minorEastAsia" w:cs="Calibri"/>
        </w:rPr>
        <w:t>se stejným obdobím roku 202</w:t>
      </w:r>
      <w:r w:rsidR="003D4760" w:rsidRPr="5FAC94B9">
        <w:rPr>
          <w:rFonts w:eastAsiaTheme="minorEastAsia" w:cs="Calibri"/>
        </w:rPr>
        <w:t>5</w:t>
      </w:r>
      <w:r w:rsidRPr="5FAC94B9">
        <w:rPr>
          <w:rFonts w:eastAsiaTheme="minorEastAsia" w:cs="Calibri"/>
        </w:rPr>
        <w:t xml:space="preserve"> o </w:t>
      </w:r>
      <w:r w:rsidR="003D4760" w:rsidRPr="5FAC94B9">
        <w:rPr>
          <w:rFonts w:eastAsiaTheme="minorEastAsia" w:cs="Calibri"/>
        </w:rPr>
        <w:t>43,8</w:t>
      </w:r>
      <w:r w:rsidRPr="5FAC94B9">
        <w:rPr>
          <w:rFonts w:eastAsiaTheme="minorEastAsia" w:cs="Calibri"/>
        </w:rPr>
        <w:t xml:space="preserve"> % na </w:t>
      </w:r>
      <w:r w:rsidR="003D4760" w:rsidRPr="5FAC94B9">
        <w:rPr>
          <w:rFonts w:eastAsiaTheme="minorEastAsia" w:cs="Calibri"/>
        </w:rPr>
        <w:t>1,7</w:t>
      </w:r>
      <w:r w:rsidRPr="5FAC94B9">
        <w:rPr>
          <w:rFonts w:eastAsiaTheme="minorEastAsia" w:cs="Calibri"/>
        </w:rPr>
        <w:t xml:space="preserve"> </w:t>
      </w:r>
      <w:r w:rsidR="003D4760" w:rsidRPr="5FAC94B9">
        <w:rPr>
          <w:rFonts w:eastAsiaTheme="minorEastAsia" w:cs="Calibri"/>
        </w:rPr>
        <w:t>mld.</w:t>
      </w:r>
      <w:r w:rsidRPr="5FAC94B9">
        <w:rPr>
          <w:rFonts w:eastAsiaTheme="minorEastAsia" w:cs="Calibri"/>
        </w:rPr>
        <w:t xml:space="preserve"> Kč, </w:t>
      </w:r>
      <w:r w:rsidR="0025214A" w:rsidRPr="5FAC94B9">
        <w:rPr>
          <w:rFonts w:eastAsiaTheme="minorEastAsia" w:cs="Calibri"/>
        </w:rPr>
        <w:t xml:space="preserve">a to </w:t>
      </w:r>
      <w:r w:rsidR="00BF3714" w:rsidRPr="5FAC94B9">
        <w:rPr>
          <w:rFonts w:eastAsiaTheme="minorEastAsia" w:cs="Calibri"/>
        </w:rPr>
        <w:t xml:space="preserve">díky </w:t>
      </w:r>
      <w:r w:rsidR="00F805A8" w:rsidRPr="5FAC94B9">
        <w:rPr>
          <w:rFonts w:eastAsiaTheme="minorEastAsia" w:cs="Calibri"/>
        </w:rPr>
        <w:t xml:space="preserve">ziskovému </w:t>
      </w:r>
      <w:r w:rsidR="00BF3714" w:rsidRPr="5FAC94B9">
        <w:rPr>
          <w:rFonts w:eastAsiaTheme="minorEastAsia" w:cs="Calibri"/>
        </w:rPr>
        <w:t>segmentu munice</w:t>
      </w:r>
      <w:r w:rsidR="00F805A8" w:rsidRPr="5FAC94B9">
        <w:rPr>
          <w:rFonts w:eastAsiaTheme="minorEastAsia" w:cs="Calibri"/>
        </w:rPr>
        <w:t xml:space="preserve"> a konsolidac</w:t>
      </w:r>
      <w:r w:rsidR="00463C97" w:rsidRPr="5FAC94B9">
        <w:rPr>
          <w:rFonts w:eastAsiaTheme="minorEastAsia" w:cs="Calibri"/>
        </w:rPr>
        <w:t>i</w:t>
      </w:r>
      <w:r w:rsidR="00F805A8" w:rsidRPr="5FAC94B9">
        <w:rPr>
          <w:rFonts w:eastAsiaTheme="minorEastAsia" w:cs="Calibri"/>
        </w:rPr>
        <w:t xml:space="preserve"> segmentu </w:t>
      </w:r>
      <w:r w:rsidR="00B34819" w:rsidRPr="5FAC94B9">
        <w:rPr>
          <w:rFonts w:eastAsiaTheme="minorEastAsia" w:cs="Calibri"/>
        </w:rPr>
        <w:t>e</w:t>
      </w:r>
      <w:r w:rsidR="00F805A8" w:rsidRPr="5FAC94B9">
        <w:rPr>
          <w:rFonts w:eastAsiaTheme="minorEastAsia" w:cs="Calibri"/>
        </w:rPr>
        <w:t>nergetických materiálů od 1. ledna 2026.</w:t>
      </w:r>
      <w:r w:rsidR="00F9759A" w:rsidRPr="5FAC94B9">
        <w:rPr>
          <w:rFonts w:eastAsiaTheme="minorEastAsia" w:cs="Calibri"/>
        </w:rPr>
        <w:t xml:space="preserve"> </w:t>
      </w:r>
      <w:r w:rsidR="001A74AC" w:rsidRPr="5FAC94B9">
        <w:rPr>
          <w:rFonts w:eastAsiaTheme="minorEastAsia" w:cs="Calibri"/>
        </w:rPr>
        <w:t xml:space="preserve">Rostoucí ziskovost Skupiny se projevila na růstu </w:t>
      </w:r>
      <w:r w:rsidR="00F9759A" w:rsidRPr="5FAC94B9">
        <w:rPr>
          <w:rFonts w:eastAsiaTheme="minorEastAsia" w:cs="Calibri"/>
        </w:rPr>
        <w:t>EBITDA marže</w:t>
      </w:r>
      <w:r w:rsidR="001A74AC" w:rsidRPr="5FAC94B9">
        <w:rPr>
          <w:rFonts w:eastAsiaTheme="minorEastAsia" w:cs="Calibri"/>
        </w:rPr>
        <w:t xml:space="preserve">, která </w:t>
      </w:r>
      <w:r w:rsidR="00F9759A" w:rsidRPr="5FAC94B9">
        <w:rPr>
          <w:rFonts w:eastAsiaTheme="minorEastAsia" w:cs="Calibri"/>
        </w:rPr>
        <w:t>činila v prvním čtvrtletí 2026</w:t>
      </w:r>
      <w:r w:rsidR="001A74AC" w:rsidRPr="5FAC94B9">
        <w:rPr>
          <w:rFonts w:eastAsiaTheme="minorEastAsia" w:cs="Calibri"/>
        </w:rPr>
        <w:t xml:space="preserve"> 23,7 % oproti marži 21,9 % ve stejném období loňského roku. </w:t>
      </w:r>
    </w:p>
    <w:p w14:paraId="477CEFDB" w14:textId="0283AB55" w:rsidR="001A74AC" w:rsidRPr="00027958" w:rsidRDefault="001C60E2" w:rsidP="008318F7">
      <w:pPr>
        <w:pStyle w:val="Odrazka1"/>
        <w:numPr>
          <w:ilvl w:val="0"/>
          <w:numId w:val="0"/>
        </w:numPr>
        <w:spacing w:line="276" w:lineRule="auto"/>
        <w:rPr>
          <w:rFonts w:eastAsiaTheme="minorEastAsia" w:cs="Calibri"/>
        </w:rPr>
      </w:pPr>
      <w:r w:rsidRPr="5FAC94B9">
        <w:rPr>
          <w:rFonts w:eastAsiaTheme="minorEastAsia" w:cs="Calibri"/>
        </w:rPr>
        <w:t xml:space="preserve">Ukazatel EBITDA upravený o mimořádné položky </w:t>
      </w:r>
      <w:r w:rsidR="00BF3714" w:rsidRPr="5FAC94B9">
        <w:rPr>
          <w:rFonts w:cs="Calibri"/>
        </w:rPr>
        <w:t>za první tři měsíce roku 202</w:t>
      </w:r>
      <w:r w:rsidR="003D4760" w:rsidRPr="5FAC94B9">
        <w:rPr>
          <w:rFonts w:cs="Calibri"/>
        </w:rPr>
        <w:t>6</w:t>
      </w:r>
      <w:r w:rsidR="00BF3714" w:rsidRPr="5FAC94B9">
        <w:rPr>
          <w:rFonts w:cs="Calibri"/>
        </w:rPr>
        <w:t xml:space="preserve"> </w:t>
      </w:r>
      <w:r w:rsidRPr="5FAC94B9">
        <w:rPr>
          <w:rFonts w:eastAsiaTheme="minorEastAsia" w:cs="Calibri"/>
        </w:rPr>
        <w:t xml:space="preserve">dosáhl výše </w:t>
      </w:r>
      <w:r w:rsidR="003D4760" w:rsidRPr="5FAC94B9">
        <w:rPr>
          <w:rFonts w:eastAsiaTheme="minorEastAsia" w:cs="Calibri"/>
        </w:rPr>
        <w:t>2,1</w:t>
      </w:r>
      <w:r w:rsidR="00BF3714" w:rsidRPr="5FAC94B9">
        <w:rPr>
          <w:rFonts w:eastAsiaTheme="minorEastAsia" w:cs="Calibri"/>
        </w:rPr>
        <w:t xml:space="preserve"> </w:t>
      </w:r>
      <w:r w:rsidR="003D4760" w:rsidRPr="5FAC94B9">
        <w:rPr>
          <w:rFonts w:eastAsiaTheme="minorEastAsia" w:cs="Calibri"/>
        </w:rPr>
        <w:t>mld.</w:t>
      </w:r>
      <w:r w:rsidRPr="5FAC94B9">
        <w:rPr>
          <w:rFonts w:eastAsiaTheme="minorEastAsia" w:cs="Calibri"/>
        </w:rPr>
        <w:t xml:space="preserve"> Kč, což je o </w:t>
      </w:r>
      <w:r w:rsidR="0084765D" w:rsidRPr="5FAC94B9">
        <w:rPr>
          <w:rFonts w:eastAsiaTheme="minorEastAsia" w:cs="Calibri"/>
        </w:rPr>
        <w:t>72,1</w:t>
      </w:r>
      <w:r w:rsidRPr="5FAC94B9">
        <w:rPr>
          <w:rFonts w:eastAsiaTheme="minorEastAsia" w:cs="Calibri"/>
        </w:rPr>
        <w:t xml:space="preserve"> % </w:t>
      </w:r>
      <w:r w:rsidR="00BF3714" w:rsidRPr="5FAC94B9">
        <w:rPr>
          <w:rFonts w:eastAsiaTheme="minorEastAsia" w:cs="Calibri"/>
        </w:rPr>
        <w:t xml:space="preserve">meziročně </w:t>
      </w:r>
      <w:r w:rsidR="0074413E" w:rsidRPr="5FAC94B9">
        <w:rPr>
          <w:rFonts w:eastAsiaTheme="minorEastAsia" w:cs="Calibri"/>
        </w:rPr>
        <w:t>více</w:t>
      </w:r>
      <w:r w:rsidRPr="5FAC94B9">
        <w:rPr>
          <w:rFonts w:eastAsiaTheme="minorEastAsia" w:cs="Calibri"/>
        </w:rPr>
        <w:t xml:space="preserve">. </w:t>
      </w:r>
      <w:r w:rsidR="009E2F2F" w:rsidRPr="5FAC94B9">
        <w:rPr>
          <w:rFonts w:eastAsiaTheme="minorEastAsia" w:cs="Calibri"/>
        </w:rPr>
        <w:t>Největší mimořádn</w:t>
      </w:r>
      <w:r w:rsidR="00BF3714" w:rsidRPr="5FAC94B9">
        <w:rPr>
          <w:rFonts w:eastAsiaTheme="minorEastAsia" w:cs="Calibri"/>
        </w:rPr>
        <w:t>é</w:t>
      </w:r>
      <w:r w:rsidR="009E2F2F" w:rsidRPr="5FAC94B9">
        <w:rPr>
          <w:rFonts w:eastAsiaTheme="minorEastAsia" w:cs="Calibri"/>
        </w:rPr>
        <w:t xml:space="preserve"> položk</w:t>
      </w:r>
      <w:r w:rsidR="00BF3714" w:rsidRPr="5FAC94B9">
        <w:rPr>
          <w:rFonts w:eastAsiaTheme="minorEastAsia" w:cs="Calibri"/>
        </w:rPr>
        <w:t>y</w:t>
      </w:r>
      <w:r w:rsidR="009E2F2F" w:rsidRPr="5FAC94B9">
        <w:rPr>
          <w:rFonts w:eastAsiaTheme="minorEastAsia" w:cs="Calibri"/>
        </w:rPr>
        <w:t xml:space="preserve"> představovaly </w:t>
      </w:r>
      <w:r w:rsidR="0084765D" w:rsidRPr="5FAC94B9">
        <w:rPr>
          <w:rFonts w:eastAsiaTheme="minorEastAsia" w:cs="Calibri"/>
        </w:rPr>
        <w:t>jednorázové výdaje související s hedgingem komodit společnosti Sellier &amp; Bellot a výdaje související s přeceněním zásob společnost</w:t>
      </w:r>
      <w:r w:rsidR="00915A55" w:rsidRPr="5FAC94B9">
        <w:rPr>
          <w:rFonts w:eastAsiaTheme="minorEastAsia" w:cs="Calibri"/>
        </w:rPr>
        <w:t>i</w:t>
      </w:r>
      <w:r w:rsidR="0084765D" w:rsidRPr="5FAC94B9">
        <w:rPr>
          <w:rFonts w:eastAsiaTheme="minorEastAsia" w:cs="Calibri"/>
        </w:rPr>
        <w:t xml:space="preserve"> Synthesia Nitrocellulose.</w:t>
      </w:r>
      <w:r w:rsidR="001A74AC" w:rsidRPr="5FAC94B9">
        <w:rPr>
          <w:rFonts w:eastAsiaTheme="minorEastAsia" w:cs="Calibri"/>
        </w:rPr>
        <w:t xml:space="preserve"> Marže upravené EBITDA činila v prvním čtvrtletí 2026 28,5 % oproti marži 22,0 % ve stejném období loňského roku. </w:t>
      </w:r>
    </w:p>
    <w:p w14:paraId="4E752166" w14:textId="18D9895D" w:rsidR="001A74AC" w:rsidRPr="00027958" w:rsidRDefault="001A74AC" w:rsidP="008318F7">
      <w:pPr>
        <w:pStyle w:val="Odrazka1"/>
        <w:numPr>
          <w:ilvl w:val="0"/>
          <w:numId w:val="0"/>
        </w:numPr>
        <w:spacing w:line="276" w:lineRule="auto"/>
        <w:rPr>
          <w:rFonts w:eastAsiaTheme="minorEastAsia" w:cs="Calibri"/>
          <w:b/>
          <w:bCs/>
        </w:rPr>
      </w:pPr>
      <w:r w:rsidRPr="5FAC94B9">
        <w:rPr>
          <w:rFonts w:eastAsiaTheme="minorEastAsia" w:cs="Calibri"/>
          <w:b/>
          <w:bCs/>
        </w:rPr>
        <w:t xml:space="preserve">Odpisy a vliv alokace vstupní ceny </w:t>
      </w:r>
      <w:r w:rsidR="00B34819" w:rsidRPr="5FAC94B9">
        <w:rPr>
          <w:rFonts w:eastAsiaTheme="minorEastAsia" w:cs="Calibri"/>
          <w:b/>
          <w:bCs/>
        </w:rPr>
        <w:t>nedávných akvizic</w:t>
      </w:r>
    </w:p>
    <w:p w14:paraId="4F972B30" w14:textId="23353966" w:rsidR="001A74AC" w:rsidRPr="00027958" w:rsidRDefault="001A74AC" w:rsidP="008318F7">
      <w:pPr>
        <w:pStyle w:val="Odrazka1"/>
        <w:numPr>
          <w:ilvl w:val="0"/>
          <w:numId w:val="0"/>
        </w:numPr>
        <w:spacing w:line="276" w:lineRule="auto"/>
        <w:rPr>
          <w:rFonts w:eastAsiaTheme="minorEastAsia" w:cs="Calibri"/>
        </w:rPr>
      </w:pPr>
      <w:r w:rsidRPr="5FAC94B9">
        <w:rPr>
          <w:rFonts w:eastAsiaTheme="minorEastAsia" w:cs="Calibri"/>
        </w:rPr>
        <w:t>Celkové odpisy v prvním čtvrtletí roku 2026 dosáhly výše 849,9 mil. Kč, meziročně o 120,6</w:t>
      </w:r>
      <w:r w:rsidR="00C0053C" w:rsidRPr="5FAC94B9">
        <w:rPr>
          <w:rFonts w:eastAsiaTheme="minorEastAsia" w:cs="Calibri"/>
        </w:rPr>
        <w:t xml:space="preserve"> </w:t>
      </w:r>
      <w:r w:rsidRPr="5FAC94B9">
        <w:rPr>
          <w:rFonts w:eastAsiaTheme="minorEastAsia" w:cs="Calibri"/>
        </w:rPr>
        <w:t xml:space="preserve">% více. Z toho byl vliv alokace kupní ceny akvizic 51% podílu Synthesia Nitrocellulose </w:t>
      </w:r>
      <w:r w:rsidR="00B34819" w:rsidRPr="5FAC94B9">
        <w:rPr>
          <w:rFonts w:eastAsiaTheme="minorEastAsia" w:cs="Calibri"/>
        </w:rPr>
        <w:t>ve výši</w:t>
      </w:r>
      <w:r w:rsidRPr="5FAC94B9">
        <w:rPr>
          <w:rFonts w:eastAsiaTheme="minorEastAsia" w:cs="Calibri"/>
        </w:rPr>
        <w:t xml:space="preserve"> </w:t>
      </w:r>
      <w:r w:rsidR="00B34819" w:rsidRPr="5FAC94B9">
        <w:rPr>
          <w:rFonts w:eastAsiaTheme="minorEastAsia" w:cs="Calibri"/>
        </w:rPr>
        <w:t>422</w:t>
      </w:r>
      <w:r w:rsidRPr="5FAC94B9">
        <w:rPr>
          <w:rFonts w:eastAsiaTheme="minorEastAsia" w:cs="Calibri"/>
        </w:rPr>
        <w:t xml:space="preserve"> mil. Kč</w:t>
      </w:r>
      <w:r w:rsidR="00B34819" w:rsidRPr="5FAC94B9">
        <w:rPr>
          <w:rFonts w:eastAsiaTheme="minorEastAsia" w:cs="Calibri"/>
        </w:rPr>
        <w:t xml:space="preserve"> a Sellier &amp; Bellot ve výši 150 mil. Kč</w:t>
      </w:r>
      <w:r w:rsidRPr="5FAC94B9">
        <w:rPr>
          <w:rFonts w:eastAsiaTheme="minorEastAsia" w:cs="Calibri"/>
        </w:rPr>
        <w:t xml:space="preserve">. </w:t>
      </w:r>
    </w:p>
    <w:p w14:paraId="391CBF7F" w14:textId="2D5344B8" w:rsidR="004813A9" w:rsidRPr="00027958" w:rsidRDefault="004813A9" w:rsidP="008318F7">
      <w:pPr>
        <w:spacing w:before="240" w:line="276" w:lineRule="auto"/>
        <w:rPr>
          <w:rFonts w:eastAsiaTheme="minorEastAsia" w:cs="Calibri"/>
          <w:b/>
          <w:bCs/>
        </w:rPr>
      </w:pPr>
      <w:r w:rsidRPr="5FAC94B9">
        <w:rPr>
          <w:rFonts w:eastAsiaTheme="minorEastAsia" w:cs="Calibri"/>
          <w:b/>
          <w:bCs/>
        </w:rPr>
        <w:t>Zisk před zdaněním</w:t>
      </w:r>
    </w:p>
    <w:p w14:paraId="4856A40B" w14:textId="63EA907A" w:rsidR="001C60E2" w:rsidRPr="00027958" w:rsidRDefault="001C60E2" w:rsidP="008318F7">
      <w:pPr>
        <w:spacing w:before="240" w:line="276" w:lineRule="auto"/>
        <w:rPr>
          <w:rFonts w:eastAsiaTheme="minorEastAsia" w:cs="Calibri"/>
        </w:rPr>
      </w:pPr>
      <w:r w:rsidRPr="5FAC94B9">
        <w:rPr>
          <w:rFonts w:eastAsiaTheme="minorEastAsia" w:cs="Calibri"/>
        </w:rPr>
        <w:t xml:space="preserve">Zisk </w:t>
      </w:r>
      <w:r w:rsidR="3E513057" w:rsidRPr="5FAC94B9">
        <w:rPr>
          <w:rFonts w:eastAsiaTheme="minorEastAsia" w:cs="Calibri"/>
        </w:rPr>
        <w:t xml:space="preserve">Skupiny </w:t>
      </w:r>
      <w:r w:rsidRPr="5FAC94B9">
        <w:rPr>
          <w:rFonts w:eastAsiaTheme="minorEastAsia" w:cs="Calibri"/>
        </w:rPr>
        <w:t xml:space="preserve">před zdaněním se </w:t>
      </w:r>
      <w:r w:rsidR="00596209" w:rsidRPr="5FAC94B9">
        <w:rPr>
          <w:rFonts w:cs="Calibri"/>
        </w:rPr>
        <w:t>za první tři měsíce roku 202</w:t>
      </w:r>
      <w:r w:rsidR="0084765D" w:rsidRPr="5FAC94B9">
        <w:rPr>
          <w:rFonts w:cs="Calibri"/>
        </w:rPr>
        <w:t>6</w:t>
      </w:r>
      <w:r w:rsidR="00596209" w:rsidRPr="5FAC94B9">
        <w:rPr>
          <w:rFonts w:cs="Calibri"/>
        </w:rPr>
        <w:t xml:space="preserve"> </w:t>
      </w:r>
      <w:r w:rsidRPr="5FAC94B9">
        <w:rPr>
          <w:rFonts w:eastAsiaTheme="minorEastAsia" w:cs="Calibri"/>
        </w:rPr>
        <w:t xml:space="preserve">meziročně </w:t>
      </w:r>
      <w:r w:rsidR="00596209" w:rsidRPr="5FAC94B9">
        <w:rPr>
          <w:rFonts w:eastAsiaTheme="minorEastAsia" w:cs="Calibri"/>
        </w:rPr>
        <w:t>zvýšil</w:t>
      </w:r>
      <w:r w:rsidRPr="5FAC94B9">
        <w:rPr>
          <w:rFonts w:eastAsiaTheme="minorEastAsia" w:cs="Calibri"/>
        </w:rPr>
        <w:t xml:space="preserve"> o </w:t>
      </w:r>
      <w:r w:rsidR="0084765D" w:rsidRPr="5FAC94B9">
        <w:rPr>
          <w:rFonts w:eastAsiaTheme="minorEastAsia" w:cs="Calibri"/>
        </w:rPr>
        <w:t>32,7</w:t>
      </w:r>
      <w:r w:rsidRPr="5FAC94B9">
        <w:rPr>
          <w:rFonts w:eastAsiaTheme="minorEastAsia" w:cs="Calibri"/>
        </w:rPr>
        <w:t xml:space="preserve"> % a dosáhl hodnoty </w:t>
      </w:r>
      <w:r w:rsidR="0084765D" w:rsidRPr="5FAC94B9">
        <w:rPr>
          <w:rFonts w:eastAsiaTheme="minorEastAsia" w:cs="Calibri"/>
        </w:rPr>
        <w:t>917,1</w:t>
      </w:r>
      <w:r w:rsidR="00596209" w:rsidRPr="5FAC94B9">
        <w:rPr>
          <w:rFonts w:eastAsiaTheme="minorEastAsia" w:cs="Calibri"/>
        </w:rPr>
        <w:t xml:space="preserve"> mil</w:t>
      </w:r>
      <w:r w:rsidRPr="5FAC94B9">
        <w:rPr>
          <w:rFonts w:eastAsiaTheme="minorEastAsia" w:cs="Calibri"/>
        </w:rPr>
        <w:t>. Kč</w:t>
      </w:r>
      <w:r w:rsidR="009B5137" w:rsidRPr="5FAC94B9">
        <w:rPr>
          <w:rFonts w:eastAsiaTheme="minorEastAsia" w:cs="Calibri"/>
        </w:rPr>
        <w:t xml:space="preserve">. Zisk před zdaněním ovlivňovalo v prvním čtvrtletí roku několik faktorů. Pozitivně působila </w:t>
      </w:r>
      <w:r w:rsidR="00B34819" w:rsidRPr="5FAC94B9">
        <w:rPr>
          <w:rFonts w:eastAsiaTheme="minorEastAsia" w:cs="Calibri"/>
        </w:rPr>
        <w:t xml:space="preserve">vyšší </w:t>
      </w:r>
      <w:r w:rsidR="009B5137" w:rsidRPr="5FAC94B9">
        <w:rPr>
          <w:rFonts w:eastAsiaTheme="minorEastAsia" w:cs="Calibri"/>
        </w:rPr>
        <w:t xml:space="preserve">provozní ziskovost a kladný výsledek z finančních operací. </w:t>
      </w:r>
      <w:r w:rsidR="009B5137" w:rsidRPr="5FAC94B9">
        <w:rPr>
          <w:rFonts w:eastAsiaTheme="minorEastAsia" w:cs="Calibri"/>
        </w:rPr>
        <w:lastRenderedPageBreak/>
        <w:t>Oproti tomu zisk před zdaněním snižoval nárůst odpisů ovlivněný alokací kupní ceny nové akvizice</w:t>
      </w:r>
      <w:r w:rsidR="00B34819" w:rsidRPr="5FAC94B9">
        <w:rPr>
          <w:rFonts w:eastAsiaTheme="minorEastAsia" w:cs="Calibri"/>
        </w:rPr>
        <w:t>.</w:t>
      </w:r>
    </w:p>
    <w:p w14:paraId="5940340B" w14:textId="77777777" w:rsidR="001C60E2" w:rsidRPr="00027958" w:rsidRDefault="004813A9" w:rsidP="008318F7">
      <w:pPr>
        <w:spacing w:before="240" w:line="276" w:lineRule="auto"/>
        <w:rPr>
          <w:rFonts w:eastAsiaTheme="minorEastAsia" w:cs="Calibri"/>
          <w:b/>
          <w:bCs/>
        </w:rPr>
      </w:pPr>
      <w:r w:rsidRPr="5FAC94B9">
        <w:rPr>
          <w:rFonts w:eastAsiaTheme="minorEastAsia" w:cs="Calibri"/>
          <w:b/>
          <w:bCs/>
        </w:rPr>
        <w:t>Zisk za období po zdanění a upravený zisk za období</w:t>
      </w:r>
      <w:r w:rsidR="00A95F7D" w:rsidRPr="5FAC94B9">
        <w:rPr>
          <w:rStyle w:val="Znakapoznpodarou"/>
          <w:rFonts w:eastAsiaTheme="minorEastAsia" w:cs="Calibri"/>
          <w:b/>
          <w:bCs/>
        </w:rPr>
        <w:footnoteReference w:id="4"/>
      </w:r>
    </w:p>
    <w:p w14:paraId="4775E5C2" w14:textId="1F51489F" w:rsidR="001C60E2" w:rsidRPr="00027958" w:rsidRDefault="001C60E2" w:rsidP="008318F7">
      <w:pPr>
        <w:spacing w:before="240" w:line="276" w:lineRule="auto"/>
        <w:rPr>
          <w:rFonts w:eastAsiaTheme="minorEastAsia" w:cs="Calibri"/>
        </w:rPr>
      </w:pPr>
      <w:r w:rsidRPr="5FAC94B9">
        <w:rPr>
          <w:rFonts w:eastAsiaTheme="minorEastAsia" w:cs="Calibri"/>
        </w:rPr>
        <w:t xml:space="preserve">Zisk za účetní období po zdanění (čistý zisk) </w:t>
      </w:r>
      <w:r w:rsidR="00596209" w:rsidRPr="5FAC94B9">
        <w:rPr>
          <w:rFonts w:cs="Calibri"/>
        </w:rPr>
        <w:t>za první tři měsíce roku 202</w:t>
      </w:r>
      <w:r w:rsidR="0084765D" w:rsidRPr="5FAC94B9">
        <w:rPr>
          <w:rFonts w:cs="Calibri"/>
        </w:rPr>
        <w:t>6</w:t>
      </w:r>
      <w:r w:rsidR="00596209" w:rsidRPr="5FAC94B9">
        <w:rPr>
          <w:rFonts w:cs="Calibri"/>
        </w:rPr>
        <w:t xml:space="preserve"> </w:t>
      </w:r>
      <w:r w:rsidRPr="5FAC94B9">
        <w:rPr>
          <w:rFonts w:eastAsiaTheme="minorEastAsia" w:cs="Calibri"/>
        </w:rPr>
        <w:t>se ve srovnání s</w:t>
      </w:r>
      <w:r w:rsidR="00596209" w:rsidRPr="5FAC94B9">
        <w:rPr>
          <w:rFonts w:eastAsiaTheme="minorEastAsia" w:cs="Calibri"/>
        </w:rPr>
        <w:t xml:space="preserve">e stejným obdobím loňského roku </w:t>
      </w:r>
      <w:r w:rsidR="00013B78" w:rsidRPr="5FAC94B9">
        <w:rPr>
          <w:rFonts w:eastAsiaTheme="minorEastAsia" w:cs="Calibri"/>
        </w:rPr>
        <w:t>zvýšil</w:t>
      </w:r>
      <w:r w:rsidRPr="5FAC94B9">
        <w:rPr>
          <w:rFonts w:eastAsiaTheme="minorEastAsia" w:cs="Calibri"/>
        </w:rPr>
        <w:t xml:space="preserve"> o </w:t>
      </w:r>
      <w:r w:rsidR="0084765D" w:rsidRPr="5FAC94B9">
        <w:rPr>
          <w:rFonts w:eastAsiaTheme="minorEastAsia" w:cs="Calibri"/>
        </w:rPr>
        <w:t>37,0</w:t>
      </w:r>
      <w:r w:rsidR="0099667F" w:rsidRPr="5FAC94B9">
        <w:rPr>
          <w:rFonts w:eastAsiaTheme="minorEastAsia" w:cs="Calibri"/>
        </w:rPr>
        <w:t xml:space="preserve"> </w:t>
      </w:r>
      <w:r w:rsidRPr="5FAC94B9">
        <w:rPr>
          <w:rFonts w:eastAsiaTheme="minorEastAsia" w:cs="Calibri"/>
        </w:rPr>
        <w:t xml:space="preserve">% a dosáhl hodnoty </w:t>
      </w:r>
      <w:r w:rsidR="0084765D" w:rsidRPr="5FAC94B9">
        <w:rPr>
          <w:rFonts w:eastAsiaTheme="minorEastAsia" w:cs="Calibri"/>
        </w:rPr>
        <w:t>717,9</w:t>
      </w:r>
      <w:r w:rsidRPr="5FAC94B9">
        <w:rPr>
          <w:rFonts w:eastAsiaTheme="minorEastAsia" w:cs="Calibri"/>
        </w:rPr>
        <w:t xml:space="preserve"> </w:t>
      </w:r>
      <w:r w:rsidR="056FE390" w:rsidRPr="5FAC94B9">
        <w:rPr>
          <w:rFonts w:eastAsiaTheme="minorEastAsia" w:cs="Calibri"/>
        </w:rPr>
        <w:t xml:space="preserve">mil. </w:t>
      </w:r>
      <w:r w:rsidRPr="5FAC94B9">
        <w:rPr>
          <w:rFonts w:eastAsiaTheme="minorEastAsia" w:cs="Calibri"/>
        </w:rPr>
        <w:t>Kč</w:t>
      </w:r>
      <w:r w:rsidR="07E1EF6D" w:rsidRPr="5FAC94B9">
        <w:rPr>
          <w:rFonts w:eastAsiaTheme="minorEastAsia" w:cs="Calibri"/>
        </w:rPr>
        <w:t>,</w:t>
      </w:r>
      <w:r w:rsidRPr="5FAC94B9">
        <w:rPr>
          <w:rFonts w:eastAsiaTheme="minorEastAsia" w:cs="Calibri"/>
        </w:rPr>
        <w:t xml:space="preserve"> </w:t>
      </w:r>
      <w:r w:rsidR="00C93D49" w:rsidRPr="5FAC94B9">
        <w:rPr>
          <w:rFonts w:eastAsiaTheme="minorEastAsia" w:cs="Calibri"/>
        </w:rPr>
        <w:t xml:space="preserve">a to vlivem </w:t>
      </w:r>
      <w:r w:rsidR="00013B78" w:rsidRPr="5FAC94B9">
        <w:rPr>
          <w:rFonts w:eastAsiaTheme="minorEastAsia" w:cs="Calibri"/>
        </w:rPr>
        <w:t>silné ziskovosti</w:t>
      </w:r>
      <w:r w:rsidR="0084765D" w:rsidRPr="5FAC94B9">
        <w:rPr>
          <w:rFonts w:eastAsiaTheme="minorEastAsia" w:cs="Calibri"/>
        </w:rPr>
        <w:t xml:space="preserve"> a kladn</w:t>
      </w:r>
      <w:r w:rsidR="6991385A" w:rsidRPr="5FAC94B9">
        <w:rPr>
          <w:rFonts w:eastAsiaTheme="minorEastAsia" w:cs="Calibri"/>
        </w:rPr>
        <w:t>é</w:t>
      </w:r>
      <w:r w:rsidR="00B34668" w:rsidRPr="5FAC94B9">
        <w:rPr>
          <w:rFonts w:eastAsiaTheme="minorEastAsia" w:cs="Calibri"/>
        </w:rPr>
        <w:t>ho</w:t>
      </w:r>
      <w:r w:rsidR="0084765D" w:rsidRPr="5FAC94B9">
        <w:rPr>
          <w:rFonts w:eastAsiaTheme="minorEastAsia" w:cs="Calibri"/>
        </w:rPr>
        <w:t xml:space="preserve"> finanční</w:t>
      </w:r>
      <w:r w:rsidR="00B34668" w:rsidRPr="5FAC94B9">
        <w:rPr>
          <w:rFonts w:eastAsiaTheme="minorEastAsia" w:cs="Calibri"/>
        </w:rPr>
        <w:t>ho</w:t>
      </w:r>
      <w:r w:rsidR="0084765D" w:rsidRPr="5FAC94B9">
        <w:rPr>
          <w:rFonts w:eastAsiaTheme="minorEastAsia" w:cs="Calibri"/>
        </w:rPr>
        <w:t xml:space="preserve"> výsledk</w:t>
      </w:r>
      <w:r w:rsidR="171D00A8" w:rsidRPr="5FAC94B9">
        <w:rPr>
          <w:rFonts w:eastAsiaTheme="minorEastAsia" w:cs="Calibri"/>
        </w:rPr>
        <w:t>u</w:t>
      </w:r>
      <w:r w:rsidR="0084765D" w:rsidRPr="5FAC94B9">
        <w:rPr>
          <w:rFonts w:eastAsiaTheme="minorEastAsia" w:cs="Calibri"/>
        </w:rPr>
        <w:t>.</w:t>
      </w:r>
    </w:p>
    <w:p w14:paraId="24B7D68E" w14:textId="648F0A07" w:rsidR="001C60E2" w:rsidRPr="00027958" w:rsidRDefault="001C60E2" w:rsidP="008318F7">
      <w:pPr>
        <w:spacing w:before="240" w:line="276" w:lineRule="auto"/>
        <w:rPr>
          <w:rFonts w:eastAsiaTheme="minorEastAsia" w:cs="Calibri"/>
        </w:rPr>
      </w:pPr>
      <w:r w:rsidRPr="5FAC94B9">
        <w:rPr>
          <w:rFonts w:eastAsiaTheme="minorEastAsia" w:cs="Calibri"/>
        </w:rPr>
        <w:t xml:space="preserve">Čistý zisk upravený o mimořádné položky </w:t>
      </w:r>
      <w:r w:rsidR="00013B78" w:rsidRPr="5FAC94B9">
        <w:rPr>
          <w:rFonts w:cs="Calibri"/>
        </w:rPr>
        <w:t>za první tři měsíce roku 202</w:t>
      </w:r>
      <w:r w:rsidR="0084765D" w:rsidRPr="5FAC94B9">
        <w:rPr>
          <w:rFonts w:cs="Calibri"/>
        </w:rPr>
        <w:t>6</w:t>
      </w:r>
      <w:r w:rsidR="00013B78" w:rsidRPr="5FAC94B9">
        <w:rPr>
          <w:rFonts w:cs="Calibri"/>
        </w:rPr>
        <w:t xml:space="preserve"> </w:t>
      </w:r>
      <w:r w:rsidR="00F436DE" w:rsidRPr="5FAC94B9">
        <w:rPr>
          <w:rFonts w:eastAsiaTheme="minorEastAsia" w:cs="Calibri"/>
        </w:rPr>
        <w:t>vzrostl</w:t>
      </w:r>
      <w:r w:rsidRPr="5FAC94B9">
        <w:rPr>
          <w:rFonts w:eastAsiaTheme="minorEastAsia" w:cs="Calibri"/>
        </w:rPr>
        <w:t xml:space="preserve"> o </w:t>
      </w:r>
      <w:r w:rsidR="0084765D" w:rsidRPr="5FAC94B9">
        <w:rPr>
          <w:rFonts w:eastAsiaTheme="minorEastAsia" w:cs="Calibri"/>
        </w:rPr>
        <w:t>73,9</w:t>
      </w:r>
      <w:r w:rsidRPr="5FAC94B9">
        <w:rPr>
          <w:rFonts w:eastAsiaTheme="minorEastAsia" w:cs="Calibri"/>
        </w:rPr>
        <w:t xml:space="preserve"> % </w:t>
      </w:r>
      <w:r w:rsidR="00013B78" w:rsidRPr="5FAC94B9">
        <w:rPr>
          <w:rFonts w:eastAsiaTheme="minorEastAsia" w:cs="Calibri"/>
        </w:rPr>
        <w:t>ve srovnání se stejným obdobím roku 202</w:t>
      </w:r>
      <w:r w:rsidR="0084765D" w:rsidRPr="5FAC94B9">
        <w:rPr>
          <w:rFonts w:eastAsiaTheme="minorEastAsia" w:cs="Calibri"/>
        </w:rPr>
        <w:t>5</w:t>
      </w:r>
      <w:r w:rsidR="00013B78" w:rsidRPr="5FAC94B9">
        <w:rPr>
          <w:rFonts w:eastAsiaTheme="minorEastAsia" w:cs="Calibri"/>
        </w:rPr>
        <w:t xml:space="preserve"> </w:t>
      </w:r>
      <w:r w:rsidRPr="5FAC94B9">
        <w:rPr>
          <w:rFonts w:eastAsiaTheme="minorEastAsia" w:cs="Calibri"/>
        </w:rPr>
        <w:t xml:space="preserve">a dosáhl hodnoty </w:t>
      </w:r>
      <w:r w:rsidR="0084765D" w:rsidRPr="5FAC94B9">
        <w:rPr>
          <w:rFonts w:eastAsiaTheme="minorEastAsia" w:cs="Calibri"/>
        </w:rPr>
        <w:t>950,6</w:t>
      </w:r>
      <w:r w:rsidRPr="5FAC94B9">
        <w:rPr>
          <w:rFonts w:eastAsiaTheme="minorEastAsia" w:cs="Calibri"/>
        </w:rPr>
        <w:t xml:space="preserve"> </w:t>
      </w:r>
      <w:r w:rsidR="00013B78" w:rsidRPr="5FAC94B9">
        <w:rPr>
          <w:rFonts w:eastAsiaTheme="minorEastAsia" w:cs="Calibri"/>
        </w:rPr>
        <w:t>mil</w:t>
      </w:r>
      <w:r w:rsidRPr="5FAC94B9">
        <w:rPr>
          <w:rFonts w:eastAsiaTheme="minorEastAsia" w:cs="Calibri"/>
        </w:rPr>
        <w:t>. Kč</w:t>
      </w:r>
      <w:r w:rsidR="00870E59" w:rsidRPr="5FAC94B9">
        <w:rPr>
          <w:rFonts w:eastAsiaTheme="minorEastAsia" w:cs="Calibri"/>
        </w:rPr>
        <w:t>.</w:t>
      </w:r>
    </w:p>
    <w:p w14:paraId="325916C0" w14:textId="386F9FA3" w:rsidR="0084765D" w:rsidRPr="00027958" w:rsidRDefault="003E6B38" w:rsidP="008318F7">
      <w:pPr>
        <w:spacing w:before="240" w:line="276" w:lineRule="auto"/>
        <w:rPr>
          <w:rFonts w:eastAsiaTheme="minorEastAsia" w:cs="Calibri"/>
        </w:rPr>
      </w:pPr>
      <w:r w:rsidRPr="5FAC94B9">
        <w:rPr>
          <w:rFonts w:eastAsiaTheme="minorEastAsia" w:cs="Calibri"/>
        </w:rPr>
        <w:t>Upravený čistý zisk připadající vlastníkům mateřské společnosti bez nekontrolních podílů</w:t>
      </w:r>
      <w:r w:rsidR="0084765D" w:rsidRPr="5FAC94B9">
        <w:rPr>
          <w:rFonts w:eastAsiaTheme="minorEastAsia" w:cs="Calibri"/>
        </w:rPr>
        <w:t xml:space="preserve"> </w:t>
      </w:r>
      <w:r w:rsidRPr="5FAC94B9">
        <w:rPr>
          <w:rFonts w:cs="Calibri"/>
        </w:rPr>
        <w:t xml:space="preserve">za první tři měsíce roku 2026 </w:t>
      </w:r>
      <w:r w:rsidRPr="5FAC94B9">
        <w:rPr>
          <w:rFonts w:eastAsiaTheme="minorEastAsia" w:cs="Calibri"/>
        </w:rPr>
        <w:t>činil</w:t>
      </w:r>
      <w:r w:rsidR="0084765D" w:rsidRPr="5FAC94B9">
        <w:rPr>
          <w:rFonts w:eastAsiaTheme="minorEastAsia" w:cs="Calibri"/>
        </w:rPr>
        <w:t xml:space="preserve"> </w:t>
      </w:r>
      <w:r w:rsidRPr="5FAC94B9">
        <w:rPr>
          <w:rFonts w:eastAsiaTheme="minorEastAsia" w:cs="Calibri"/>
        </w:rPr>
        <w:t>669,9</w:t>
      </w:r>
      <w:r w:rsidR="0084765D" w:rsidRPr="5FAC94B9">
        <w:rPr>
          <w:rFonts w:eastAsiaTheme="minorEastAsia" w:cs="Calibri"/>
        </w:rPr>
        <w:t xml:space="preserve"> mil. Kč</w:t>
      </w:r>
      <w:r w:rsidRPr="5FAC94B9">
        <w:rPr>
          <w:rFonts w:eastAsiaTheme="minorEastAsia" w:cs="Calibri"/>
        </w:rPr>
        <w:t>, meziročně o 22,6</w:t>
      </w:r>
      <w:r w:rsidR="00C0053C" w:rsidRPr="5FAC94B9">
        <w:rPr>
          <w:rFonts w:eastAsiaTheme="minorEastAsia" w:cs="Calibri"/>
        </w:rPr>
        <w:t xml:space="preserve"> </w:t>
      </w:r>
      <w:r w:rsidRPr="5FAC94B9">
        <w:rPr>
          <w:rFonts w:eastAsiaTheme="minorEastAsia" w:cs="Calibri"/>
        </w:rPr>
        <w:t>% více. Výše čistého zisku připadající</w:t>
      </w:r>
      <w:r w:rsidR="7D3A937F" w:rsidRPr="5FAC94B9">
        <w:rPr>
          <w:rFonts w:eastAsiaTheme="minorEastAsia" w:cs="Calibri"/>
        </w:rPr>
        <w:t>ho</w:t>
      </w:r>
      <w:r w:rsidRPr="5FAC94B9">
        <w:rPr>
          <w:rFonts w:eastAsiaTheme="minorEastAsia" w:cs="Calibri"/>
        </w:rPr>
        <w:t xml:space="preserve"> na nekontrolní podíly činila </w:t>
      </w:r>
      <w:r w:rsidRPr="5FAC94B9">
        <w:rPr>
          <w:rFonts w:cs="Calibri"/>
        </w:rPr>
        <w:t>280,7 mil. Kč</w:t>
      </w:r>
      <w:r w:rsidR="00E42785" w:rsidRPr="5FAC94B9">
        <w:rPr>
          <w:rFonts w:cs="Calibri"/>
        </w:rPr>
        <w:t xml:space="preserve"> za první tři měsíce roku 2026</w:t>
      </w:r>
      <w:r w:rsidRPr="5FAC94B9">
        <w:rPr>
          <w:rFonts w:cs="Calibri"/>
        </w:rPr>
        <w:t>.</w:t>
      </w:r>
    </w:p>
    <w:p w14:paraId="0993A881" w14:textId="7A944213" w:rsidR="004813A9" w:rsidRPr="00027958" w:rsidRDefault="004813A9" w:rsidP="008318F7">
      <w:pPr>
        <w:spacing w:before="240" w:line="276" w:lineRule="auto"/>
        <w:rPr>
          <w:rFonts w:eastAsiaTheme="minorEastAsia" w:cs="Calibri"/>
          <w:b/>
          <w:bCs/>
        </w:rPr>
      </w:pPr>
      <w:r w:rsidRPr="5FAC94B9">
        <w:rPr>
          <w:rFonts w:eastAsiaTheme="minorEastAsia" w:cs="Calibri"/>
          <w:b/>
          <w:bCs/>
        </w:rPr>
        <w:t>Investice</w:t>
      </w:r>
    </w:p>
    <w:p w14:paraId="00B41BE2" w14:textId="1669D23D" w:rsidR="004813A9" w:rsidRPr="00027958" w:rsidRDefault="001C60E2" w:rsidP="008318F7">
      <w:pPr>
        <w:spacing w:before="120" w:line="276" w:lineRule="auto"/>
        <w:rPr>
          <w:rFonts w:eastAsiaTheme="minorEastAsia" w:cs="Calibri"/>
        </w:rPr>
      </w:pPr>
      <w:r w:rsidRPr="5FAC94B9">
        <w:rPr>
          <w:rFonts w:eastAsiaTheme="minorEastAsia" w:cs="Calibri"/>
        </w:rPr>
        <w:t xml:space="preserve">Kapitálové výdaje Skupiny </w:t>
      </w:r>
      <w:r w:rsidR="00D352EB" w:rsidRPr="5FAC94B9">
        <w:rPr>
          <w:rFonts w:cs="Calibri"/>
        </w:rPr>
        <w:t>za první tři měsíce roku 202</w:t>
      </w:r>
      <w:r w:rsidR="0084765D" w:rsidRPr="5FAC94B9">
        <w:rPr>
          <w:rFonts w:cs="Calibri"/>
        </w:rPr>
        <w:t>6</w:t>
      </w:r>
      <w:r w:rsidR="00D352EB" w:rsidRPr="5FAC94B9">
        <w:rPr>
          <w:rFonts w:cs="Calibri"/>
        </w:rPr>
        <w:t xml:space="preserve"> </w:t>
      </w:r>
      <w:r w:rsidRPr="5FAC94B9">
        <w:rPr>
          <w:rFonts w:eastAsiaTheme="minorEastAsia" w:cs="Calibri"/>
        </w:rPr>
        <w:t xml:space="preserve">dosáhly hodnoty </w:t>
      </w:r>
      <w:r w:rsidR="003E6B38" w:rsidRPr="5FAC94B9">
        <w:rPr>
          <w:rFonts w:eastAsiaTheme="minorEastAsia" w:cs="Calibri"/>
        </w:rPr>
        <w:t>597,8</w:t>
      </w:r>
      <w:r w:rsidRPr="5FAC94B9">
        <w:rPr>
          <w:rFonts w:eastAsiaTheme="minorEastAsia" w:cs="Calibri"/>
        </w:rPr>
        <w:t xml:space="preserve"> mil. Kč, meziročně o </w:t>
      </w:r>
      <w:r w:rsidR="00AF5D15" w:rsidRPr="5FAC94B9">
        <w:rPr>
          <w:rFonts w:eastAsiaTheme="minorEastAsia" w:cs="Calibri"/>
        </w:rPr>
        <w:t>121,5</w:t>
      </w:r>
      <w:r w:rsidRPr="5FAC94B9">
        <w:rPr>
          <w:rFonts w:eastAsiaTheme="minorEastAsia" w:cs="Calibri"/>
        </w:rPr>
        <w:t xml:space="preserve"> % více</w:t>
      </w:r>
      <w:r w:rsidR="00F963AF" w:rsidRPr="5FAC94B9">
        <w:rPr>
          <w:rFonts w:eastAsiaTheme="minorEastAsia" w:cs="Calibri"/>
        </w:rPr>
        <w:t xml:space="preserve">. Kapitálové výdaje Skupiny </w:t>
      </w:r>
      <w:r w:rsidRPr="5FAC94B9">
        <w:rPr>
          <w:rFonts w:eastAsiaTheme="minorEastAsia" w:cs="Calibri"/>
        </w:rPr>
        <w:t xml:space="preserve">představovaly </w:t>
      </w:r>
      <w:r w:rsidR="00AF5D15" w:rsidRPr="5FAC94B9">
        <w:rPr>
          <w:rFonts w:eastAsiaTheme="minorEastAsia" w:cs="Calibri"/>
        </w:rPr>
        <w:t>8,2</w:t>
      </w:r>
      <w:r w:rsidRPr="5FAC94B9">
        <w:rPr>
          <w:rFonts w:eastAsiaTheme="minorEastAsia" w:cs="Calibri"/>
        </w:rPr>
        <w:t xml:space="preserve">% </w:t>
      </w:r>
      <w:r w:rsidR="00D155B6" w:rsidRPr="5FAC94B9">
        <w:rPr>
          <w:rFonts w:eastAsiaTheme="minorEastAsia" w:cs="Calibri"/>
        </w:rPr>
        <w:t xml:space="preserve">podíl </w:t>
      </w:r>
      <w:r w:rsidRPr="5FAC94B9">
        <w:rPr>
          <w:rFonts w:eastAsiaTheme="minorEastAsia" w:cs="Calibri"/>
        </w:rPr>
        <w:t xml:space="preserve">z celkových výnosů za </w:t>
      </w:r>
      <w:r w:rsidR="00D155B6" w:rsidRPr="5FAC94B9">
        <w:rPr>
          <w:rFonts w:eastAsiaTheme="minorEastAsia" w:cs="Calibri"/>
        </w:rPr>
        <w:t>sledované</w:t>
      </w:r>
      <w:r w:rsidRPr="5FAC94B9">
        <w:rPr>
          <w:rFonts w:eastAsiaTheme="minorEastAsia" w:cs="Calibri"/>
        </w:rPr>
        <w:t xml:space="preserve"> období</w:t>
      </w:r>
      <w:r w:rsidR="00D62168" w:rsidRPr="5FAC94B9">
        <w:rPr>
          <w:rFonts w:eastAsiaTheme="minorEastAsia" w:cs="Calibri"/>
        </w:rPr>
        <w:t>,</w:t>
      </w:r>
      <w:r w:rsidR="00F963AF" w:rsidRPr="5FAC94B9">
        <w:rPr>
          <w:rFonts w:eastAsiaTheme="minorEastAsia" w:cs="Calibri"/>
        </w:rPr>
        <w:t xml:space="preserve"> což </w:t>
      </w:r>
      <w:r w:rsidR="712B308F" w:rsidRPr="5FAC94B9">
        <w:rPr>
          <w:rFonts w:eastAsiaTheme="minorEastAsia" w:cs="Calibri"/>
        </w:rPr>
        <w:t xml:space="preserve">je </w:t>
      </w:r>
      <w:r w:rsidR="00AF5D15" w:rsidRPr="5FAC94B9">
        <w:rPr>
          <w:rFonts w:eastAsiaTheme="minorEastAsia" w:cs="Calibri"/>
        </w:rPr>
        <w:t>mírně na</w:t>
      </w:r>
      <w:r w:rsidR="00CF5681" w:rsidRPr="5FAC94B9">
        <w:rPr>
          <w:rFonts w:eastAsiaTheme="minorEastAsia" w:cs="Calibri"/>
        </w:rPr>
        <w:t>d</w:t>
      </w:r>
      <w:r w:rsidR="00AF5D15" w:rsidRPr="5FAC94B9">
        <w:rPr>
          <w:rFonts w:eastAsiaTheme="minorEastAsia" w:cs="Calibri"/>
        </w:rPr>
        <w:t xml:space="preserve"> celoroční</w:t>
      </w:r>
      <w:r w:rsidR="00CF5681" w:rsidRPr="5FAC94B9">
        <w:rPr>
          <w:rFonts w:eastAsiaTheme="minorEastAsia" w:cs="Calibri"/>
        </w:rPr>
        <w:t>m</w:t>
      </w:r>
      <w:r w:rsidR="00AF5D15" w:rsidRPr="5FAC94B9">
        <w:rPr>
          <w:rFonts w:eastAsiaTheme="minorEastAsia" w:cs="Calibri"/>
        </w:rPr>
        <w:t xml:space="preserve"> výhled</w:t>
      </w:r>
      <w:r w:rsidR="00CF5681" w:rsidRPr="5FAC94B9">
        <w:rPr>
          <w:rFonts w:eastAsiaTheme="minorEastAsia" w:cs="Calibri"/>
        </w:rPr>
        <w:t>em</w:t>
      </w:r>
      <w:r w:rsidR="00AF5D15" w:rsidRPr="5FAC94B9">
        <w:rPr>
          <w:rFonts w:eastAsiaTheme="minorEastAsia" w:cs="Calibri"/>
        </w:rPr>
        <w:t xml:space="preserve"> Skupiny </w:t>
      </w:r>
      <w:r w:rsidR="002C79B8" w:rsidRPr="5FAC94B9">
        <w:rPr>
          <w:rFonts w:eastAsiaTheme="minorEastAsia" w:cs="Calibri"/>
        </w:rPr>
        <w:t>vlivem</w:t>
      </w:r>
      <w:r w:rsidR="00AF5D15" w:rsidRPr="5FAC94B9">
        <w:rPr>
          <w:rFonts w:eastAsiaTheme="minorEastAsia" w:cs="Calibri"/>
        </w:rPr>
        <w:t xml:space="preserve"> rozložení kapitálových výdajů v jednotlivých kvartálech. Téměř 80</w:t>
      </w:r>
      <w:r w:rsidR="00C0053C" w:rsidRPr="5FAC94B9">
        <w:rPr>
          <w:rFonts w:eastAsiaTheme="minorEastAsia" w:cs="Calibri"/>
        </w:rPr>
        <w:t xml:space="preserve"> </w:t>
      </w:r>
      <w:r w:rsidR="00AF5D15" w:rsidRPr="5FAC94B9">
        <w:rPr>
          <w:rFonts w:eastAsiaTheme="minorEastAsia" w:cs="Calibri"/>
        </w:rPr>
        <w:t xml:space="preserve">% celkového CAPEXu směřovalo na investice v České republice. </w:t>
      </w:r>
      <w:r w:rsidR="003640A7" w:rsidRPr="5FAC94B9">
        <w:rPr>
          <w:rFonts w:eastAsiaTheme="minorEastAsia" w:cs="Calibri"/>
        </w:rPr>
        <w:t>Přes 50</w:t>
      </w:r>
      <w:r w:rsidR="00C0053C" w:rsidRPr="5FAC94B9">
        <w:rPr>
          <w:rFonts w:eastAsiaTheme="minorEastAsia" w:cs="Calibri"/>
        </w:rPr>
        <w:t xml:space="preserve"> </w:t>
      </w:r>
      <w:r w:rsidR="003640A7" w:rsidRPr="5FAC94B9">
        <w:rPr>
          <w:rFonts w:eastAsiaTheme="minorEastAsia" w:cs="Calibri"/>
        </w:rPr>
        <w:t xml:space="preserve">% kapitálových výdajů bylo </w:t>
      </w:r>
      <w:r w:rsidR="00164299" w:rsidRPr="5FAC94B9">
        <w:rPr>
          <w:rFonts w:eastAsiaTheme="minorEastAsia" w:cs="Calibri"/>
        </w:rPr>
        <w:t>vynaloženo</w:t>
      </w:r>
      <w:r w:rsidR="003640A7" w:rsidRPr="5FAC94B9">
        <w:rPr>
          <w:rFonts w:eastAsiaTheme="minorEastAsia" w:cs="Calibri"/>
        </w:rPr>
        <w:t xml:space="preserve"> </w:t>
      </w:r>
      <w:r w:rsidR="00CF5681" w:rsidRPr="5FAC94B9">
        <w:rPr>
          <w:rFonts w:eastAsiaTheme="minorEastAsia" w:cs="Calibri"/>
        </w:rPr>
        <w:t xml:space="preserve">do </w:t>
      </w:r>
      <w:r w:rsidR="003640A7" w:rsidRPr="5FAC94B9">
        <w:rPr>
          <w:rFonts w:eastAsiaTheme="minorEastAsia" w:cs="Calibri"/>
        </w:rPr>
        <w:t xml:space="preserve">segmentu palných zbraní, zhruba 1/3 </w:t>
      </w:r>
      <w:r w:rsidR="00CF5681" w:rsidRPr="5FAC94B9">
        <w:rPr>
          <w:rFonts w:eastAsiaTheme="minorEastAsia" w:cs="Calibri"/>
        </w:rPr>
        <w:t xml:space="preserve">do </w:t>
      </w:r>
      <w:r w:rsidR="003640A7" w:rsidRPr="5FAC94B9">
        <w:rPr>
          <w:rFonts w:eastAsiaTheme="minorEastAsia" w:cs="Calibri"/>
        </w:rPr>
        <w:t>segmentu energetických materiálů a přibližně 15</w:t>
      </w:r>
      <w:r w:rsidR="00C0053C" w:rsidRPr="5FAC94B9">
        <w:rPr>
          <w:rFonts w:eastAsiaTheme="minorEastAsia" w:cs="Calibri"/>
        </w:rPr>
        <w:t xml:space="preserve"> </w:t>
      </w:r>
      <w:r w:rsidR="003640A7" w:rsidRPr="5FAC94B9">
        <w:rPr>
          <w:rFonts w:eastAsiaTheme="minorEastAsia" w:cs="Calibri"/>
        </w:rPr>
        <w:t xml:space="preserve">% </w:t>
      </w:r>
      <w:r w:rsidR="00CF5681" w:rsidRPr="5FAC94B9">
        <w:rPr>
          <w:rFonts w:eastAsiaTheme="minorEastAsia" w:cs="Calibri"/>
        </w:rPr>
        <w:t xml:space="preserve">do </w:t>
      </w:r>
      <w:r w:rsidR="003640A7" w:rsidRPr="5FAC94B9">
        <w:rPr>
          <w:rFonts w:eastAsiaTheme="minorEastAsia" w:cs="Calibri"/>
        </w:rPr>
        <w:t>segmentu munice.</w:t>
      </w:r>
      <w:r w:rsidR="00F96EDF" w:rsidRPr="5FAC94B9">
        <w:rPr>
          <w:rFonts w:eastAsiaTheme="minorEastAsia" w:cs="Calibri"/>
        </w:rPr>
        <w:t xml:space="preserve"> </w:t>
      </w:r>
    </w:p>
    <w:p w14:paraId="189E575D" w14:textId="4BD6A184" w:rsidR="004813A9" w:rsidRPr="00027958" w:rsidRDefault="00D352EB" w:rsidP="008318F7">
      <w:pPr>
        <w:spacing w:before="240" w:line="276" w:lineRule="auto"/>
        <w:rPr>
          <w:rFonts w:eastAsiaTheme="minorEastAsia" w:cs="Calibri"/>
          <w:b/>
          <w:bCs/>
        </w:rPr>
      </w:pPr>
      <w:r w:rsidRPr="5FAC94B9">
        <w:rPr>
          <w:rFonts w:eastAsiaTheme="minorEastAsia" w:cs="Calibri"/>
          <w:b/>
          <w:bCs/>
        </w:rPr>
        <w:t>Potvrzení výhledu</w:t>
      </w:r>
      <w:r w:rsidR="004813A9" w:rsidRPr="5FAC94B9">
        <w:rPr>
          <w:rFonts w:eastAsiaTheme="minorEastAsia" w:cs="Calibri"/>
          <w:b/>
          <w:bCs/>
        </w:rPr>
        <w:t xml:space="preserve"> na rok 202</w:t>
      </w:r>
      <w:r w:rsidR="009D10D5" w:rsidRPr="5FAC94B9">
        <w:rPr>
          <w:rFonts w:eastAsiaTheme="minorEastAsia" w:cs="Calibri"/>
          <w:b/>
          <w:bCs/>
        </w:rPr>
        <w:t>6</w:t>
      </w:r>
    </w:p>
    <w:p w14:paraId="48282404" w14:textId="360CCD8F" w:rsidR="00027958" w:rsidRPr="00027958" w:rsidRDefault="00027958" w:rsidP="008318F7">
      <w:pPr>
        <w:spacing w:before="120" w:line="276" w:lineRule="auto"/>
        <w:rPr>
          <w:rFonts w:eastAsiaTheme="minorEastAsia" w:cs="Calibri"/>
        </w:rPr>
      </w:pPr>
      <w:r w:rsidRPr="5FAC94B9">
        <w:rPr>
          <w:rFonts w:eastAsiaTheme="minorEastAsia" w:cs="Calibri"/>
        </w:rPr>
        <w:t xml:space="preserve">Ve výhledu pro rok 2026 bude skupina Colt CZ nadále usilovat o významné zakázky v segmentu ozbrojených složek, zejména v rámci států NATO a EU a ve spolupráci s agenturou NSPA. Současně posiluje svou pozici i na dalších trzích, především v Asii. Klíčové pro naplnění výhledu budou úspěchy v nových tendrech, včasná realizace zakázek a </w:t>
      </w:r>
      <w:r w:rsidR="00314275" w:rsidRPr="5FAC94B9">
        <w:rPr>
          <w:rFonts w:eastAsiaTheme="minorEastAsia" w:cs="Calibri"/>
        </w:rPr>
        <w:t>dynamika zotavení</w:t>
      </w:r>
      <w:r w:rsidRPr="5FAC94B9">
        <w:rPr>
          <w:rFonts w:eastAsiaTheme="minorEastAsia" w:cs="Calibri"/>
        </w:rPr>
        <w:t xml:space="preserve"> </w:t>
      </w:r>
      <w:r w:rsidR="00314275" w:rsidRPr="5FAC94B9">
        <w:rPr>
          <w:rFonts w:eastAsiaTheme="minorEastAsia" w:cs="Calibri"/>
        </w:rPr>
        <w:t xml:space="preserve">amerického </w:t>
      </w:r>
      <w:r w:rsidRPr="5FAC94B9">
        <w:rPr>
          <w:rFonts w:eastAsiaTheme="minorEastAsia" w:cs="Calibri"/>
        </w:rPr>
        <w:t>komerčního trhu, kde se Společnost zaměřuje na zmírnění dopadů slabší poptávky a dovozních cel prostřednictvím kontroly nákladů a uvádění nových produktů</w:t>
      </w:r>
      <w:r w:rsidR="00860579" w:rsidRPr="5FAC94B9">
        <w:rPr>
          <w:rFonts w:eastAsiaTheme="minorEastAsia" w:cs="Calibri"/>
        </w:rPr>
        <w:t xml:space="preserve"> na trh</w:t>
      </w:r>
      <w:r w:rsidRPr="5FAC94B9">
        <w:rPr>
          <w:rFonts w:eastAsiaTheme="minorEastAsia" w:cs="Calibri"/>
        </w:rPr>
        <w:t>. Mírný negativní dopad do hospodaření Skupiny by mohl mít vývoj měnových kurzů USD a Eura.</w:t>
      </w:r>
    </w:p>
    <w:p w14:paraId="46FA8618" w14:textId="1BEF2DCD" w:rsidR="00027958" w:rsidRPr="00027958" w:rsidRDefault="00027958" w:rsidP="008318F7">
      <w:pPr>
        <w:spacing w:before="120" w:line="276" w:lineRule="auto"/>
        <w:rPr>
          <w:rFonts w:eastAsiaTheme="minorEastAsia" w:cs="Calibri"/>
        </w:rPr>
      </w:pPr>
      <w:r w:rsidRPr="5FAC94B9">
        <w:rPr>
          <w:rFonts w:eastAsiaTheme="minorEastAsia" w:cs="Calibri"/>
        </w:rPr>
        <w:t xml:space="preserve">Významným růstovým faktorem v roce 2026 bude také nový segment </w:t>
      </w:r>
      <w:r w:rsidR="3295EC52" w:rsidRPr="5FAC94B9">
        <w:rPr>
          <w:rFonts w:eastAsiaTheme="minorEastAsia" w:cs="Calibri"/>
        </w:rPr>
        <w:t>E</w:t>
      </w:r>
      <w:r w:rsidRPr="5FAC94B9">
        <w:rPr>
          <w:rFonts w:eastAsiaTheme="minorEastAsia" w:cs="Calibri"/>
        </w:rPr>
        <w:t>nergetické materiály. Díky vysoké ziskovosti Společnost očekává, že tento segment bude tvořit přibližně 16 % celkových výnosů Skupiny a zhruba 1/3 ukazatele upravené EBITDA.</w:t>
      </w:r>
    </w:p>
    <w:p w14:paraId="2CCD8DBA" w14:textId="2B12B020" w:rsidR="009D10D5" w:rsidRPr="00027958" w:rsidRDefault="009D10D5" w:rsidP="008318F7">
      <w:pPr>
        <w:spacing w:before="120" w:line="276" w:lineRule="auto"/>
        <w:rPr>
          <w:rFonts w:eastAsiaTheme="minorEastAsia" w:cs="Calibri"/>
        </w:rPr>
      </w:pPr>
      <w:r w:rsidRPr="5FAC94B9">
        <w:rPr>
          <w:rFonts w:eastAsiaTheme="minorEastAsia" w:cs="Calibri"/>
        </w:rPr>
        <w:t xml:space="preserve">S ohledem na výše uvedené skutečnosti Skupina potvrzuje svůj výhled na rok 2026 </w:t>
      </w:r>
      <w:r w:rsidR="00027958" w:rsidRPr="5FAC94B9">
        <w:rPr>
          <w:rFonts w:eastAsiaTheme="minorEastAsia" w:cs="Calibri"/>
        </w:rPr>
        <w:t>v původním rozsahu.</w:t>
      </w:r>
    </w:p>
    <w:tbl>
      <w:tblPr>
        <w:tblStyle w:val="Tabulkasmkou3"/>
        <w:tblW w:w="5000" w:type="pct"/>
        <w:tblLook w:val="04A0" w:firstRow="1" w:lastRow="0" w:firstColumn="1" w:lastColumn="0" w:noHBand="0" w:noVBand="1"/>
      </w:tblPr>
      <w:tblGrid>
        <w:gridCol w:w="2433"/>
        <w:gridCol w:w="1963"/>
        <w:gridCol w:w="2408"/>
        <w:gridCol w:w="1984"/>
      </w:tblGrid>
      <w:tr w:rsidR="009D10D5" w:rsidRPr="00027958" w14:paraId="7CEC2FA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pct"/>
          </w:tcPr>
          <w:p w14:paraId="64C2E4D8" w14:textId="77777777" w:rsidR="009D10D5" w:rsidRPr="00027958" w:rsidRDefault="009D10D5">
            <w:pPr>
              <w:spacing w:before="120" w:after="0"/>
              <w:rPr>
                <w:rFonts w:eastAsiaTheme="minorHAnsi" w:cs="Calibri"/>
                <w:szCs w:val="20"/>
              </w:rPr>
            </w:pPr>
            <w:r w:rsidRPr="00027958">
              <w:rPr>
                <w:rFonts w:eastAsiaTheme="minorHAnsi" w:cs="Calibri"/>
                <w:szCs w:val="20"/>
              </w:rPr>
              <w:lastRenderedPageBreak/>
              <w:t>V mil. Kč</w:t>
            </w:r>
          </w:p>
        </w:tc>
        <w:tc>
          <w:tcPr>
            <w:tcW w:w="1117" w:type="pct"/>
          </w:tcPr>
          <w:p w14:paraId="23D22F3A" w14:textId="77777777" w:rsidR="009D10D5" w:rsidRPr="00027958" w:rsidRDefault="009D10D5">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EastAsia" w:cs="Calibri"/>
                <w:szCs w:val="20"/>
              </w:rPr>
            </w:pPr>
            <w:r w:rsidRPr="00027958">
              <w:rPr>
                <w:rFonts w:eastAsiaTheme="minorEastAsia" w:cs="Calibri"/>
                <w:szCs w:val="20"/>
              </w:rPr>
              <w:t>Rok 2025</w:t>
            </w:r>
          </w:p>
        </w:tc>
        <w:tc>
          <w:tcPr>
            <w:tcW w:w="1370" w:type="pct"/>
          </w:tcPr>
          <w:p w14:paraId="516A881B" w14:textId="7AA7DEA9" w:rsidR="009D10D5" w:rsidRPr="00027958" w:rsidRDefault="009D10D5">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HAnsi" w:cs="Calibri"/>
                <w:szCs w:val="20"/>
              </w:rPr>
            </w:pPr>
            <w:r w:rsidRPr="00027958">
              <w:rPr>
                <w:rFonts w:eastAsiaTheme="minorHAnsi" w:cs="Calibri"/>
                <w:szCs w:val="20"/>
              </w:rPr>
              <w:t xml:space="preserve">Rok 2025 proforma včetně segmentu </w:t>
            </w:r>
            <w:r w:rsidR="00027958" w:rsidRPr="00027958">
              <w:rPr>
                <w:rFonts w:eastAsiaTheme="minorHAnsi" w:cs="Calibri"/>
                <w:szCs w:val="20"/>
              </w:rPr>
              <w:t>e</w:t>
            </w:r>
            <w:r w:rsidRPr="00027958">
              <w:rPr>
                <w:rFonts w:eastAsiaTheme="minorHAnsi" w:cs="Calibri"/>
                <w:szCs w:val="20"/>
              </w:rPr>
              <w:t>nergetických materiálů</w:t>
            </w:r>
          </w:p>
        </w:tc>
        <w:tc>
          <w:tcPr>
            <w:tcW w:w="1129" w:type="pct"/>
          </w:tcPr>
          <w:p w14:paraId="7EF44AF2" w14:textId="77777777" w:rsidR="009D10D5" w:rsidRPr="00027958" w:rsidRDefault="009D10D5">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HAnsi" w:cs="Calibri"/>
                <w:szCs w:val="20"/>
              </w:rPr>
            </w:pPr>
            <w:r w:rsidRPr="00027958">
              <w:rPr>
                <w:rFonts w:eastAsiaTheme="minorHAnsi" w:cs="Calibri"/>
                <w:szCs w:val="20"/>
              </w:rPr>
              <w:t>Výhled pro rok 2026</w:t>
            </w:r>
          </w:p>
        </w:tc>
      </w:tr>
      <w:tr w:rsidR="009D10D5" w:rsidRPr="00027958" w14:paraId="71AC36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0BEC2E4D" w14:textId="77777777" w:rsidR="009D10D5" w:rsidRPr="00027958" w:rsidRDefault="009D10D5">
            <w:pPr>
              <w:spacing w:before="120" w:after="0"/>
              <w:rPr>
                <w:rFonts w:eastAsiaTheme="minorHAnsi" w:cs="Calibri"/>
                <w:b/>
                <w:bCs/>
                <w:szCs w:val="20"/>
              </w:rPr>
            </w:pPr>
            <w:r w:rsidRPr="00027958">
              <w:rPr>
                <w:rFonts w:eastAsiaTheme="minorHAnsi" w:cs="Calibri"/>
                <w:b/>
                <w:bCs/>
                <w:szCs w:val="20"/>
              </w:rPr>
              <w:t xml:space="preserve">Colt CZ Group </w:t>
            </w:r>
          </w:p>
        </w:tc>
        <w:tc>
          <w:tcPr>
            <w:tcW w:w="1117" w:type="pct"/>
          </w:tcPr>
          <w:p w14:paraId="7EB8E85B" w14:textId="77777777" w:rsidR="009D10D5" w:rsidRPr="00027958" w:rsidRDefault="009D10D5">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szCs w:val="20"/>
              </w:rPr>
            </w:pPr>
          </w:p>
        </w:tc>
        <w:tc>
          <w:tcPr>
            <w:tcW w:w="1370" w:type="pct"/>
          </w:tcPr>
          <w:p w14:paraId="16B6E798" w14:textId="77777777" w:rsidR="009D10D5" w:rsidRPr="00027958" w:rsidRDefault="009D10D5">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szCs w:val="20"/>
              </w:rPr>
            </w:pPr>
          </w:p>
        </w:tc>
        <w:tc>
          <w:tcPr>
            <w:tcW w:w="1129" w:type="pct"/>
          </w:tcPr>
          <w:p w14:paraId="01DF6181" w14:textId="77777777" w:rsidR="009D10D5" w:rsidRPr="00027958" w:rsidRDefault="009D10D5">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b/>
                <w:bCs/>
                <w:szCs w:val="20"/>
              </w:rPr>
            </w:pPr>
          </w:p>
        </w:tc>
      </w:tr>
      <w:tr w:rsidR="009D10D5" w:rsidRPr="00027958" w14:paraId="00FF261F" w14:textId="77777777">
        <w:tc>
          <w:tcPr>
            <w:cnfStyle w:val="001000000000" w:firstRow="0" w:lastRow="0" w:firstColumn="1" w:lastColumn="0" w:oddVBand="0" w:evenVBand="0" w:oddHBand="0" w:evenHBand="0" w:firstRowFirstColumn="0" w:firstRowLastColumn="0" w:lastRowFirstColumn="0" w:lastRowLastColumn="0"/>
            <w:tcW w:w="1384" w:type="pct"/>
          </w:tcPr>
          <w:p w14:paraId="76B6A5C1" w14:textId="77777777" w:rsidR="009D10D5" w:rsidRPr="00027958" w:rsidRDefault="009D10D5">
            <w:pPr>
              <w:spacing w:before="120" w:after="0"/>
              <w:jc w:val="right"/>
              <w:rPr>
                <w:rFonts w:eastAsiaTheme="minorHAnsi" w:cs="Calibri"/>
                <w:szCs w:val="20"/>
              </w:rPr>
            </w:pPr>
            <w:r w:rsidRPr="00027958">
              <w:rPr>
                <w:rFonts w:eastAsiaTheme="minorHAnsi" w:cs="Calibri"/>
                <w:szCs w:val="20"/>
              </w:rPr>
              <w:t>Výnosy</w:t>
            </w:r>
          </w:p>
        </w:tc>
        <w:tc>
          <w:tcPr>
            <w:tcW w:w="1117" w:type="pct"/>
          </w:tcPr>
          <w:p w14:paraId="5801D3B9" w14:textId="77777777" w:rsidR="009D10D5" w:rsidRPr="00027958" w:rsidRDefault="009D10D5">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HAnsi" w:cs="Calibri"/>
                <w:szCs w:val="20"/>
              </w:rPr>
            </w:pPr>
            <w:r w:rsidRPr="00027958">
              <w:rPr>
                <w:rFonts w:eastAsiaTheme="minorHAnsi" w:cs="Calibri"/>
                <w:szCs w:val="20"/>
              </w:rPr>
              <w:t>23 399</w:t>
            </w:r>
          </w:p>
        </w:tc>
        <w:tc>
          <w:tcPr>
            <w:tcW w:w="1370" w:type="pct"/>
          </w:tcPr>
          <w:p w14:paraId="59244EBA" w14:textId="77777777" w:rsidR="009D10D5" w:rsidRPr="00027958" w:rsidRDefault="009D10D5">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EastAsia" w:cs="Calibri"/>
                <w:szCs w:val="20"/>
              </w:rPr>
            </w:pPr>
            <w:r w:rsidRPr="00027958">
              <w:rPr>
                <w:rFonts w:eastAsiaTheme="minorEastAsia" w:cs="Calibri"/>
                <w:szCs w:val="20"/>
              </w:rPr>
              <w:t>28 300</w:t>
            </w:r>
          </w:p>
        </w:tc>
        <w:tc>
          <w:tcPr>
            <w:tcW w:w="1129" w:type="pct"/>
          </w:tcPr>
          <w:p w14:paraId="60ED0C56" w14:textId="77777777" w:rsidR="009D10D5" w:rsidRPr="00027958" w:rsidRDefault="009D10D5">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EastAsia" w:cs="Calibri"/>
                <w:b/>
                <w:bCs/>
                <w:szCs w:val="20"/>
              </w:rPr>
            </w:pPr>
            <w:r w:rsidRPr="00027958">
              <w:rPr>
                <w:rFonts w:eastAsiaTheme="minorEastAsia" w:cs="Calibri"/>
                <w:b/>
                <w:bCs/>
                <w:szCs w:val="20"/>
              </w:rPr>
              <w:t>30 000 – 33 000</w:t>
            </w:r>
          </w:p>
        </w:tc>
      </w:tr>
      <w:tr w:rsidR="009D10D5" w:rsidRPr="00027958" w14:paraId="1ECE5C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576635CC" w14:textId="77777777" w:rsidR="009D10D5" w:rsidRPr="00027958" w:rsidRDefault="009D10D5">
            <w:pPr>
              <w:spacing w:before="120" w:after="0"/>
              <w:jc w:val="right"/>
              <w:rPr>
                <w:rFonts w:eastAsiaTheme="minorHAnsi" w:cs="Calibri"/>
                <w:szCs w:val="20"/>
              </w:rPr>
            </w:pPr>
            <w:r w:rsidRPr="00027958">
              <w:rPr>
                <w:rFonts w:eastAsiaTheme="minorHAnsi" w:cs="Calibri"/>
                <w:szCs w:val="20"/>
              </w:rPr>
              <w:t>Upravená EBITDA</w:t>
            </w:r>
          </w:p>
        </w:tc>
        <w:tc>
          <w:tcPr>
            <w:tcW w:w="1117" w:type="pct"/>
          </w:tcPr>
          <w:p w14:paraId="072AB858" w14:textId="77777777" w:rsidR="009D10D5" w:rsidRPr="00027958" w:rsidRDefault="009D10D5">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HAnsi" w:cs="Calibri"/>
                <w:szCs w:val="20"/>
              </w:rPr>
            </w:pPr>
            <w:r w:rsidRPr="00027958">
              <w:rPr>
                <w:rFonts w:eastAsiaTheme="minorHAnsi" w:cs="Calibri"/>
                <w:szCs w:val="20"/>
              </w:rPr>
              <w:t>4 661</w:t>
            </w:r>
          </w:p>
        </w:tc>
        <w:tc>
          <w:tcPr>
            <w:tcW w:w="1370" w:type="pct"/>
          </w:tcPr>
          <w:p w14:paraId="0CEEAFC2" w14:textId="77777777" w:rsidR="009D10D5" w:rsidRPr="00027958" w:rsidRDefault="009D10D5">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EastAsia" w:cs="Calibri"/>
                <w:szCs w:val="20"/>
              </w:rPr>
            </w:pPr>
            <w:r w:rsidRPr="00027958">
              <w:rPr>
                <w:rFonts w:eastAsiaTheme="minorEastAsia" w:cs="Calibri"/>
                <w:szCs w:val="20"/>
              </w:rPr>
              <w:t>7 100</w:t>
            </w:r>
          </w:p>
        </w:tc>
        <w:tc>
          <w:tcPr>
            <w:tcW w:w="1129" w:type="pct"/>
          </w:tcPr>
          <w:p w14:paraId="3BD96A43" w14:textId="77777777" w:rsidR="009D10D5" w:rsidRPr="00027958" w:rsidRDefault="009D10D5">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EastAsia" w:cs="Calibri"/>
                <w:b/>
                <w:bCs/>
                <w:szCs w:val="20"/>
              </w:rPr>
            </w:pPr>
            <w:r w:rsidRPr="00027958">
              <w:rPr>
                <w:rFonts w:eastAsiaTheme="minorEastAsia" w:cs="Calibri"/>
                <w:b/>
                <w:bCs/>
                <w:szCs w:val="20"/>
              </w:rPr>
              <w:t>7 400 – 8 200</w:t>
            </w:r>
          </w:p>
        </w:tc>
      </w:tr>
    </w:tbl>
    <w:p w14:paraId="6DBD1531" w14:textId="77777777" w:rsidR="009D10D5" w:rsidRPr="00027958" w:rsidRDefault="009D10D5" w:rsidP="008318F7">
      <w:pPr>
        <w:spacing w:before="240" w:line="276" w:lineRule="auto"/>
        <w:rPr>
          <w:rFonts w:cs="Calibri"/>
          <w:color w:val="000000" w:themeColor="text1"/>
          <w:shd w:val="clear" w:color="auto" w:fill="FFFFFF"/>
        </w:rPr>
      </w:pPr>
      <w:r w:rsidRPr="5FAC94B9">
        <w:rPr>
          <w:rFonts w:cs="Calibri"/>
          <w:color w:val="000000" w:themeColor="text1"/>
          <w:shd w:val="clear" w:color="auto" w:fill="FFFFFF"/>
        </w:rPr>
        <w:t>Kapitálové výdaje Skupiny v roce 2026 by mohly dosáhnout 1,8 – 2,0 mld. Kč, což odpovídá hodnotě kolem 6 % z očekávaných celkových výnosů v roce 2026 a je tak v souladu se střednědobým cílem Skupiny. Očekává se, že 40 mil. EUR bude alokováno na kapitálové výdaje v segmentu Energetických materiálů s cílem zvýšit výrobní kapacity z 6 tisíc na 7 tisíc tun.</w:t>
      </w:r>
    </w:p>
    <w:p w14:paraId="5EAC0D65" w14:textId="77777777" w:rsidR="00314275" w:rsidRPr="00314275" w:rsidRDefault="00314275" w:rsidP="008318F7">
      <w:pPr>
        <w:spacing w:before="240" w:line="276" w:lineRule="auto"/>
        <w:rPr>
          <w:rFonts w:eastAsiaTheme="minorEastAsia" w:cs="Calibri"/>
          <w:b/>
          <w:bCs/>
        </w:rPr>
      </w:pPr>
      <w:r w:rsidRPr="5FAC94B9">
        <w:rPr>
          <w:rFonts w:eastAsiaTheme="minorEastAsia" w:cs="Calibri"/>
          <w:b/>
          <w:bCs/>
        </w:rPr>
        <w:t>Návrh výplaty dividendy</w:t>
      </w:r>
    </w:p>
    <w:p w14:paraId="098ACC77" w14:textId="77777777" w:rsidR="00314275" w:rsidRPr="00314275" w:rsidRDefault="00314275" w:rsidP="008318F7">
      <w:pPr>
        <w:spacing w:before="240" w:line="276" w:lineRule="auto"/>
        <w:rPr>
          <w:rFonts w:eastAsiaTheme="minorEastAsia" w:cs="Calibri"/>
        </w:rPr>
      </w:pPr>
      <w:r w:rsidRPr="5FAC94B9">
        <w:rPr>
          <w:rFonts w:eastAsiaTheme="minorEastAsia" w:cs="Calibri"/>
        </w:rPr>
        <w:t>Společnost navrhne valné hromadě výplatu dividendy ve výši 30 Kč na akcii ze zisku z roku 2025. Návrh rozdělení zisku podléhá schválení valnou hromadou, jež se bude konat na konci prvního pololetí 2026.</w:t>
      </w:r>
    </w:p>
    <w:p w14:paraId="2CD297F8" w14:textId="73C047D6" w:rsidR="00314275" w:rsidRPr="00314275" w:rsidRDefault="00314275" w:rsidP="008318F7">
      <w:pPr>
        <w:spacing w:before="240" w:line="276" w:lineRule="auto"/>
        <w:rPr>
          <w:rFonts w:eastAsiaTheme="minorEastAsia" w:cs="Calibri"/>
          <w:b/>
          <w:bCs/>
        </w:rPr>
      </w:pPr>
      <w:r w:rsidRPr="5FAC94B9">
        <w:rPr>
          <w:rFonts w:eastAsiaTheme="minorEastAsia" w:cs="Calibri"/>
          <w:b/>
          <w:bCs/>
        </w:rPr>
        <w:t xml:space="preserve">Aktualizace programu </w:t>
      </w:r>
      <w:r w:rsidR="00F922D4" w:rsidRPr="5FAC94B9">
        <w:rPr>
          <w:rFonts w:eastAsiaTheme="minorEastAsia" w:cs="Calibri"/>
          <w:b/>
          <w:bCs/>
        </w:rPr>
        <w:t>zpětného</w:t>
      </w:r>
      <w:r w:rsidRPr="5FAC94B9">
        <w:rPr>
          <w:rFonts w:eastAsiaTheme="minorEastAsia" w:cs="Calibri"/>
          <w:b/>
          <w:bCs/>
        </w:rPr>
        <w:t xml:space="preserve"> odkup</w:t>
      </w:r>
      <w:r w:rsidR="00F922D4" w:rsidRPr="5FAC94B9">
        <w:rPr>
          <w:rFonts w:eastAsiaTheme="minorEastAsia" w:cs="Calibri"/>
          <w:b/>
          <w:bCs/>
        </w:rPr>
        <w:t>u</w:t>
      </w:r>
      <w:r w:rsidRPr="5FAC94B9">
        <w:rPr>
          <w:rFonts w:eastAsiaTheme="minorEastAsia" w:cs="Calibri"/>
          <w:b/>
          <w:bCs/>
        </w:rPr>
        <w:t xml:space="preserve"> akcií</w:t>
      </w:r>
    </w:p>
    <w:p w14:paraId="51478644" w14:textId="4BE7BF77" w:rsidR="00314275" w:rsidRPr="00F922D4" w:rsidRDefault="00314275" w:rsidP="008318F7">
      <w:pPr>
        <w:spacing w:before="240" w:line="276" w:lineRule="auto"/>
        <w:rPr>
          <w:rFonts w:eastAsiaTheme="minorEastAsia" w:cs="Calibri"/>
        </w:rPr>
      </w:pPr>
      <w:r w:rsidRPr="5FAC94B9">
        <w:rPr>
          <w:rFonts w:eastAsiaTheme="minorEastAsia" w:cs="Calibri"/>
        </w:rPr>
        <w:t xml:space="preserve">Představenstvo v roce 2025 schválilo alokaci částky 847 mil. Kč na program zpětného odkupu akcií (při současné tržní ceně představuje ekvivalent 1,15 milionu akcií). Do konce roku 2025 Společnost získala na trhu přibližně 265 tisíc svých akcií. </w:t>
      </w:r>
      <w:bookmarkStart w:id="4" w:name="_Hlk193918598"/>
      <w:r w:rsidRPr="5FAC94B9">
        <w:rPr>
          <w:rFonts w:eastAsiaTheme="minorEastAsia" w:cs="Calibri"/>
        </w:rPr>
        <w:t xml:space="preserve">V prvním čtvrtletí 2026 získala Společnost na trhu </w:t>
      </w:r>
      <w:r w:rsidR="00CC16B1" w:rsidRPr="5FAC94B9">
        <w:rPr>
          <w:rFonts w:eastAsiaTheme="minorEastAsia" w:cs="Calibri"/>
        </w:rPr>
        <w:t>51</w:t>
      </w:r>
      <w:r w:rsidRPr="5FAC94B9">
        <w:rPr>
          <w:rFonts w:eastAsiaTheme="minorEastAsia" w:cs="Calibri"/>
        </w:rPr>
        <w:t xml:space="preserve"> tisíc vlastních akcií</w:t>
      </w:r>
      <w:r w:rsidR="00922DCC" w:rsidRPr="5FAC94B9">
        <w:rPr>
          <w:rFonts w:eastAsiaTheme="minorEastAsia" w:cs="Calibri"/>
        </w:rPr>
        <w:t>. O</w:t>
      </w:r>
      <w:r w:rsidRPr="5FAC94B9">
        <w:rPr>
          <w:rFonts w:eastAsiaTheme="minorEastAsia" w:cs="Calibri"/>
        </w:rPr>
        <w:t>d zahájení zpětného odkupu byl</w:t>
      </w:r>
      <w:r w:rsidR="000A64C7" w:rsidRPr="5FAC94B9">
        <w:rPr>
          <w:rFonts w:eastAsiaTheme="minorEastAsia" w:cs="Calibri"/>
        </w:rPr>
        <w:t>o</w:t>
      </w:r>
      <w:r w:rsidRPr="5FAC94B9">
        <w:rPr>
          <w:rFonts w:eastAsiaTheme="minorEastAsia" w:cs="Calibri"/>
        </w:rPr>
        <w:t xml:space="preserve"> na trhu odkoupeno celkem</w:t>
      </w:r>
      <w:r w:rsidR="00CC16B1" w:rsidRPr="5FAC94B9">
        <w:rPr>
          <w:rFonts w:eastAsiaTheme="minorEastAsia" w:cs="Calibri"/>
        </w:rPr>
        <w:t xml:space="preserve"> přibližně</w:t>
      </w:r>
      <w:r w:rsidRPr="5FAC94B9">
        <w:rPr>
          <w:rFonts w:eastAsiaTheme="minorEastAsia" w:cs="Calibri"/>
        </w:rPr>
        <w:t xml:space="preserve"> </w:t>
      </w:r>
      <w:r w:rsidR="00CC16B1" w:rsidRPr="5FAC94B9">
        <w:rPr>
          <w:rFonts w:eastAsiaTheme="minorEastAsia" w:cs="Calibri"/>
        </w:rPr>
        <w:t>517</w:t>
      </w:r>
      <w:r w:rsidRPr="5FAC94B9">
        <w:rPr>
          <w:rFonts w:eastAsiaTheme="minorEastAsia" w:cs="Calibri"/>
        </w:rPr>
        <w:t xml:space="preserve"> tisíc akcií</w:t>
      </w:r>
      <w:r w:rsidR="00F922D4" w:rsidRPr="5FAC94B9">
        <w:rPr>
          <w:rFonts w:eastAsiaTheme="minorEastAsia" w:cs="Calibri"/>
        </w:rPr>
        <w:t xml:space="preserve"> v celkové hodnotě </w:t>
      </w:r>
      <w:r w:rsidR="00CC16B1" w:rsidRPr="5FAC94B9">
        <w:rPr>
          <w:rFonts w:eastAsiaTheme="minorEastAsia" w:cs="Calibri"/>
        </w:rPr>
        <w:t>441</w:t>
      </w:r>
      <w:r w:rsidR="00F922D4" w:rsidRPr="5FAC94B9">
        <w:rPr>
          <w:rFonts w:eastAsiaTheme="minorEastAsia" w:cs="Calibri"/>
        </w:rPr>
        <w:t xml:space="preserve"> mil. Kč.</w:t>
      </w:r>
      <w:r w:rsidRPr="5FAC94B9">
        <w:rPr>
          <w:rFonts w:eastAsiaTheme="minorEastAsia" w:cs="Calibri"/>
        </w:rPr>
        <w:t xml:space="preserve"> </w:t>
      </w:r>
    </w:p>
    <w:bookmarkEnd w:id="4"/>
    <w:p w14:paraId="3C1A2E93" w14:textId="54C18EC2" w:rsidR="00314275" w:rsidRPr="00314275" w:rsidRDefault="001A5C85" w:rsidP="008318F7">
      <w:pPr>
        <w:spacing w:before="240" w:line="276" w:lineRule="auto"/>
        <w:rPr>
          <w:rFonts w:eastAsiaTheme="minorEastAsia" w:cs="Calibri"/>
          <w:b/>
          <w:bCs/>
        </w:rPr>
      </w:pPr>
      <w:r w:rsidRPr="5FAC94B9">
        <w:rPr>
          <w:rFonts w:eastAsiaTheme="minorEastAsia" w:cs="Calibri"/>
          <w:b/>
          <w:bCs/>
        </w:rPr>
        <w:t>Duální</w:t>
      </w:r>
      <w:r w:rsidR="00314275" w:rsidRPr="5FAC94B9">
        <w:rPr>
          <w:rFonts w:eastAsiaTheme="minorEastAsia" w:cs="Calibri"/>
          <w:b/>
          <w:bCs/>
        </w:rPr>
        <w:t xml:space="preserve"> listing v Amsterdamu</w:t>
      </w:r>
    </w:p>
    <w:p w14:paraId="4E983D70" w14:textId="2CF3AB4D" w:rsidR="009D10D5" w:rsidRDefault="00F922D4" w:rsidP="008318F7">
      <w:pPr>
        <w:spacing w:before="240" w:line="276" w:lineRule="auto"/>
        <w:rPr>
          <w:rFonts w:eastAsiaTheme="minorEastAsia" w:cs="Calibri"/>
        </w:rPr>
      </w:pPr>
      <w:r w:rsidRPr="5FAC94B9">
        <w:rPr>
          <w:rFonts w:eastAsiaTheme="minorEastAsia" w:cs="Calibri"/>
        </w:rPr>
        <w:t xml:space="preserve">Dne 13. dubna 2026 Společnost oznámila přijetí svých kmenových akcií k obchodování na regulovaném trhu burzy Euronext Amsterdam, provozovaném společností Euronext Amsterdam N.V. Duální listing na burze Euronext Amsterdam doplňuje stávající obchodování akcií společnosti Colt CZ na trhu Prime Market Burzy cenných papírů Praha, kde je Společnost kotována od 1. června 2020. Zahájení obchodování s akciemi Colt CZ na burze Euronext Amsterdam započalo dne 15. dubna v 9:00 SELČ pod tickerem „COLT“. Akcie jsou plně zastupitelné mezi burzami Euronext Amsterdam a Burzou cenných papírů Praha. </w:t>
      </w:r>
    </w:p>
    <w:p w14:paraId="3455066D" w14:textId="2141B8D2" w:rsidR="00F922D4" w:rsidRPr="00F922D4" w:rsidRDefault="00F922D4" w:rsidP="008318F7">
      <w:pPr>
        <w:spacing w:before="240" w:line="276" w:lineRule="auto"/>
        <w:rPr>
          <w:rFonts w:eastAsiaTheme="minorEastAsia" w:cs="Calibri"/>
        </w:rPr>
      </w:pPr>
      <w:r w:rsidRPr="5FAC94B9">
        <w:rPr>
          <w:rFonts w:eastAsiaTheme="minorEastAsia" w:cs="Calibri"/>
        </w:rPr>
        <w:t xml:space="preserve">V závislosti na tržních podmínkách může Společnost zrealizovat navýšení kapitálu, přičemž si zachová plnou flexibilitu načasování, včetně možnosti odložení transakce na pozdější dobu. Čistý výnos z plánovaného navýšení kapitálu může být použit na další strategické investice, akvizice a rozvoj, včetně: i) strategických investic do pokračující technologické modernizace a zvyšování výrobní kapacity, ii) posílení inovační kapacity a výzkumu a vývoje, iii) personálního a organizačního posílení, iv) cílené a disciplinované akvizice výrobců produktů komplementárních k produktovému portfoliu skupiny Colt CZ jakož i v) částečného snížení stávajícího dluhu Společnosti. </w:t>
      </w:r>
    </w:p>
    <w:p w14:paraId="18F74671" w14:textId="55447D03" w:rsidR="004813A9" w:rsidRPr="00027958" w:rsidRDefault="004813A9" w:rsidP="008318F7">
      <w:pPr>
        <w:keepNext/>
        <w:spacing w:before="240" w:line="276" w:lineRule="auto"/>
        <w:rPr>
          <w:rFonts w:cs="Calibri"/>
          <w:b/>
          <w:bCs/>
          <w:color w:val="000000" w:themeColor="text1"/>
          <w:shd w:val="clear" w:color="auto" w:fill="FFFFFF"/>
        </w:rPr>
      </w:pPr>
      <w:r w:rsidRPr="5FAC94B9">
        <w:rPr>
          <w:rFonts w:cs="Calibri"/>
          <w:b/>
          <w:bCs/>
          <w:color w:val="000000" w:themeColor="text1"/>
          <w:shd w:val="clear" w:color="auto" w:fill="FFFFFF"/>
        </w:rPr>
        <w:lastRenderedPageBreak/>
        <w:t xml:space="preserve">O společnosti </w:t>
      </w:r>
      <w:r w:rsidR="002172AB" w:rsidRPr="5FAC94B9">
        <w:rPr>
          <w:rFonts w:cs="Calibri"/>
          <w:b/>
          <w:bCs/>
          <w:color w:val="000000" w:themeColor="text1"/>
          <w:shd w:val="clear" w:color="auto" w:fill="FFFFFF"/>
        </w:rPr>
        <w:t>Colt CZ</w:t>
      </w:r>
      <w:r w:rsidRPr="5FAC94B9">
        <w:rPr>
          <w:rFonts w:cs="Calibri"/>
          <w:b/>
          <w:bCs/>
          <w:color w:val="000000" w:themeColor="text1"/>
          <w:shd w:val="clear" w:color="auto" w:fill="FFFFFF"/>
        </w:rPr>
        <w:t xml:space="preserve"> Group SE</w:t>
      </w:r>
    </w:p>
    <w:p w14:paraId="7B1B768C" w14:textId="21E8F357" w:rsidR="00C23B7B" w:rsidRDefault="554A1951" w:rsidP="008318F7">
      <w:pPr>
        <w:spacing w:before="240" w:line="276" w:lineRule="auto"/>
        <w:textAlignment w:val="baseline"/>
        <w:rPr>
          <w:rFonts w:eastAsia="Verdana"/>
          <w:color w:val="000000"/>
          <w:spacing w:val="-4"/>
        </w:rPr>
      </w:pPr>
      <w:r w:rsidRPr="4B2C601D">
        <w:rPr>
          <w:rFonts w:eastAsia="Verdana"/>
          <w:color w:val="000000" w:themeColor="text1"/>
        </w:rPr>
        <w:t xml:space="preserve">Colt CZ Group (Colt CZ) je jeden z předních světových vertikálně integrovaných výrobců palných zbraní, </w:t>
      </w:r>
      <w:r w:rsidR="134622B3" w:rsidRPr="4B2C601D">
        <w:rPr>
          <w:rFonts w:eastAsia="Verdana"/>
          <w:color w:val="000000" w:themeColor="text1"/>
        </w:rPr>
        <w:t>munice</w:t>
      </w:r>
      <w:r w:rsidRPr="4B2C601D">
        <w:rPr>
          <w:rFonts w:eastAsia="Verdana"/>
          <w:color w:val="000000" w:themeColor="text1"/>
        </w:rPr>
        <w:t xml:space="preserve"> a energetické nitrocelulózy pro ozbrojené složky a komerční trh. </w:t>
      </w:r>
      <w:r w:rsidR="5CA1A140" w:rsidRPr="4B2C601D">
        <w:rPr>
          <w:rFonts w:eastAsia="Verdana"/>
          <w:color w:val="000000" w:themeColor="text1"/>
        </w:rPr>
        <w:t>S</w:t>
      </w:r>
      <w:r w:rsidRPr="4B2C601D">
        <w:rPr>
          <w:rFonts w:eastAsia="Verdana"/>
          <w:color w:val="000000" w:themeColor="text1"/>
        </w:rPr>
        <w:t xml:space="preserve">vé produkty prodává především pod značkami Colt, CZ (Česká zbrojovka), Colt Canada, Colt Optics, Dan Wesson, Sellier &amp; Bellot, Spuhr, swissAA a 4M Tactical. Skupina rovněž </w:t>
      </w:r>
      <w:r w:rsidR="15B05720" w:rsidRPr="4B2C601D">
        <w:rPr>
          <w:rFonts w:eastAsia="Verdana"/>
          <w:color w:val="000000" w:themeColor="text1"/>
        </w:rPr>
        <w:t>působí</w:t>
      </w:r>
      <w:r w:rsidR="5CA1A140" w:rsidRPr="4B2C601D">
        <w:rPr>
          <w:rFonts w:eastAsia="Verdana"/>
          <w:color w:val="000000" w:themeColor="text1"/>
        </w:rPr>
        <w:t xml:space="preserve"> v oblasti</w:t>
      </w:r>
      <w:r w:rsidRPr="4B2C601D">
        <w:rPr>
          <w:rFonts w:eastAsia="Verdana"/>
          <w:color w:val="000000" w:themeColor="text1"/>
        </w:rPr>
        <w:t xml:space="preserve"> výrob</w:t>
      </w:r>
      <w:r w:rsidR="5CA1A140" w:rsidRPr="4B2C601D">
        <w:rPr>
          <w:rFonts w:eastAsia="Verdana"/>
          <w:color w:val="000000" w:themeColor="text1"/>
        </w:rPr>
        <w:t>y</w:t>
      </w:r>
      <w:r w:rsidRPr="4B2C601D">
        <w:rPr>
          <w:rFonts w:eastAsia="Verdana"/>
          <w:color w:val="000000" w:themeColor="text1"/>
        </w:rPr>
        <w:t xml:space="preserve"> energetické nitrocelulózy prostřednictvím společnosti Synthesia Nitrocellulose. </w:t>
      </w:r>
    </w:p>
    <w:p w14:paraId="679FD84F" w14:textId="1C579E4C" w:rsidR="00C23B7B" w:rsidRPr="00027958" w:rsidRDefault="00C23B7B" w:rsidP="008318F7">
      <w:pPr>
        <w:spacing w:before="240" w:line="276" w:lineRule="auto"/>
        <w:textAlignment w:val="baseline"/>
        <w:rPr>
          <w:rFonts w:eastAsia="Verdana"/>
          <w:color w:val="000000"/>
          <w:spacing w:val="-4"/>
        </w:rPr>
      </w:pPr>
      <w:r w:rsidRPr="5FAC94B9">
        <w:rPr>
          <w:rFonts w:eastAsia="Verdana"/>
          <w:color w:val="000000"/>
          <w:spacing w:val="-4"/>
        </w:rPr>
        <w:t>Skupina Colt CZ sídlí v České republice a zaměstnává více než 4 500 lidí ve 13 výrobních závodech v České republice, Spojených státech, Kanadě, Švédsku, Švýcarsku a Maďarsku. Skupina je od roku 2020 k</w:t>
      </w:r>
      <w:r w:rsidR="00446FE5" w:rsidRPr="5FAC94B9">
        <w:rPr>
          <w:rFonts w:eastAsia="Verdana"/>
          <w:color w:val="000000"/>
          <w:spacing w:val="-4"/>
        </w:rPr>
        <w:t>o</w:t>
      </w:r>
      <w:r w:rsidRPr="5FAC94B9">
        <w:rPr>
          <w:rFonts w:eastAsia="Verdana"/>
          <w:color w:val="000000"/>
          <w:spacing w:val="-4"/>
        </w:rPr>
        <w:t>tovaná na Burze cenných papírů Praha a v dubnu 2026 dokončila duální listing na burze Euronext Amsterdam. Jejím největším akcionářem je holding Česká zbrojovka Partners SE.</w:t>
      </w:r>
    </w:p>
    <w:p w14:paraId="48CF1F84" w14:textId="77777777" w:rsidR="006663EA" w:rsidRPr="00027958" w:rsidRDefault="006663EA" w:rsidP="008318F7">
      <w:pPr>
        <w:spacing w:line="276" w:lineRule="auto"/>
        <w:rPr>
          <w:rFonts w:cs="Calibri"/>
          <w:i/>
          <w:iCs/>
          <w:color w:val="000000" w:themeColor="text1"/>
        </w:rPr>
      </w:pPr>
    </w:p>
    <w:p w14:paraId="1EAF0947" w14:textId="77777777" w:rsidR="0015069F" w:rsidRDefault="0015069F" w:rsidP="0015069F">
      <w:pPr>
        <w:spacing w:before="0" w:after="0" w:line="276" w:lineRule="auto"/>
        <w:rPr>
          <w:rFonts w:cs="Calibri"/>
          <w:b/>
          <w:bCs/>
          <w:color w:val="000000" w:themeColor="text1"/>
          <w:szCs w:val="20"/>
        </w:rPr>
      </w:pPr>
      <w:r w:rsidRPr="00430D7B">
        <w:rPr>
          <w:rFonts w:cs="Calibri"/>
          <w:b/>
          <w:bCs/>
          <w:color w:val="000000" w:themeColor="text1"/>
          <w:szCs w:val="20"/>
        </w:rPr>
        <w:t>Kontakt pro média</w:t>
      </w:r>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Pr>
          <w:rFonts w:cs="Calibri"/>
          <w:b/>
          <w:bCs/>
          <w:color w:val="000000" w:themeColor="text1"/>
          <w:szCs w:val="20"/>
        </w:rPr>
        <w:tab/>
      </w:r>
      <w:r w:rsidRPr="00430D7B">
        <w:rPr>
          <w:rFonts w:cs="Calibri"/>
          <w:b/>
          <w:bCs/>
          <w:color w:val="000000" w:themeColor="text1"/>
          <w:szCs w:val="20"/>
        </w:rPr>
        <w:t>Kontakt pro investory</w:t>
      </w:r>
    </w:p>
    <w:p w14:paraId="3C03B931" w14:textId="77777777" w:rsidR="0015069F" w:rsidRPr="0015069F" w:rsidRDefault="0015069F" w:rsidP="0015069F">
      <w:pPr>
        <w:spacing w:before="0" w:after="0" w:line="276" w:lineRule="auto"/>
        <w:rPr>
          <w:rFonts w:cs="Calibri"/>
          <w:color w:val="000000" w:themeColor="text1"/>
          <w:szCs w:val="20"/>
        </w:rPr>
      </w:pPr>
      <w:r w:rsidRPr="0015069F">
        <w:rPr>
          <w:rFonts w:cs="Calibri"/>
          <w:color w:val="000000" w:themeColor="text1"/>
          <w:szCs w:val="20"/>
        </w:rPr>
        <w:tab/>
      </w:r>
    </w:p>
    <w:p w14:paraId="75E462D1" w14:textId="77777777" w:rsidR="0015069F" w:rsidRPr="00430D7B" w:rsidRDefault="0015069F" w:rsidP="0015069F">
      <w:pPr>
        <w:spacing w:before="0" w:after="0" w:line="276" w:lineRule="auto"/>
        <w:rPr>
          <w:rFonts w:cs="Calibri"/>
          <w:b/>
          <w:bCs/>
          <w:color w:val="000000" w:themeColor="text1"/>
          <w:szCs w:val="20"/>
        </w:rPr>
      </w:pPr>
      <w:r w:rsidRPr="00430D7B">
        <w:rPr>
          <w:rFonts w:cs="Calibri"/>
          <w:color w:val="000000" w:themeColor="text1"/>
          <w:szCs w:val="20"/>
        </w:rPr>
        <w:t>Eva Svobodová</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Klára Šípová</w:t>
      </w:r>
    </w:p>
    <w:p w14:paraId="55AFD9D8" w14:textId="77777777" w:rsidR="0015069F" w:rsidRPr="00430D7B" w:rsidRDefault="0015069F" w:rsidP="0015069F">
      <w:pPr>
        <w:spacing w:before="0" w:after="0" w:line="276" w:lineRule="auto"/>
        <w:rPr>
          <w:rFonts w:cs="Calibri"/>
          <w:color w:val="000000" w:themeColor="text1"/>
          <w:szCs w:val="20"/>
        </w:rPr>
      </w:pPr>
      <w:r w:rsidRPr="00430D7B">
        <w:rPr>
          <w:rFonts w:cs="Calibri"/>
          <w:color w:val="000000" w:themeColor="text1"/>
          <w:szCs w:val="20"/>
        </w:rPr>
        <w:t>ředitelka pro vnější vztahy</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Investor Relations</w:t>
      </w:r>
    </w:p>
    <w:p w14:paraId="56451F4A" w14:textId="77777777" w:rsidR="0015069F" w:rsidRPr="00430D7B" w:rsidRDefault="0015069F" w:rsidP="0015069F">
      <w:pPr>
        <w:spacing w:before="0" w:after="0" w:line="276" w:lineRule="auto"/>
        <w:rPr>
          <w:rFonts w:cs="Calibri"/>
          <w:b/>
          <w:bCs/>
          <w:color w:val="000000" w:themeColor="text1"/>
          <w:szCs w:val="20"/>
        </w:rPr>
      </w:pPr>
      <w:proofErr w:type="spellStart"/>
      <w:r w:rsidRPr="00430D7B">
        <w:rPr>
          <w:rFonts w:cs="Calibri"/>
          <w:color w:val="000000" w:themeColor="text1"/>
          <w:szCs w:val="20"/>
        </w:rPr>
        <w:t>Colt</w:t>
      </w:r>
      <w:proofErr w:type="spellEnd"/>
      <w:r w:rsidRPr="00430D7B">
        <w:rPr>
          <w:rFonts w:cs="Calibri"/>
          <w:color w:val="000000" w:themeColor="text1"/>
          <w:szCs w:val="20"/>
        </w:rPr>
        <w:t xml:space="preserve"> CZ Group SE</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proofErr w:type="spellStart"/>
      <w:r w:rsidRPr="00430D7B">
        <w:rPr>
          <w:rFonts w:cs="Calibri"/>
          <w:color w:val="000000" w:themeColor="text1"/>
          <w:szCs w:val="20"/>
        </w:rPr>
        <w:t>Colt</w:t>
      </w:r>
      <w:proofErr w:type="spellEnd"/>
      <w:r w:rsidRPr="00430D7B">
        <w:rPr>
          <w:rFonts w:cs="Calibri"/>
          <w:color w:val="000000" w:themeColor="text1"/>
          <w:szCs w:val="20"/>
        </w:rPr>
        <w:t xml:space="preserve"> CZ Group SE</w:t>
      </w:r>
    </w:p>
    <w:p w14:paraId="34CE4255" w14:textId="77777777" w:rsidR="0015069F" w:rsidRPr="00430D7B" w:rsidRDefault="0015069F" w:rsidP="0015069F">
      <w:pPr>
        <w:spacing w:before="0" w:after="0" w:line="276" w:lineRule="auto"/>
        <w:rPr>
          <w:rFonts w:cs="Calibri"/>
          <w:color w:val="000000" w:themeColor="text1"/>
          <w:szCs w:val="20"/>
        </w:rPr>
      </w:pPr>
      <w:r w:rsidRPr="00430D7B">
        <w:rPr>
          <w:rFonts w:cs="Calibri"/>
          <w:color w:val="000000" w:themeColor="text1"/>
          <w:szCs w:val="20"/>
        </w:rPr>
        <w:t>Tel.: +420 735 793 656</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Tel.: +420 724 255 715</w:t>
      </w:r>
      <w:r w:rsidRPr="00430D7B">
        <w:rPr>
          <w:rFonts w:cs="Calibri"/>
          <w:color w:val="000000" w:themeColor="text1"/>
          <w:szCs w:val="20"/>
        </w:rPr>
        <w:tab/>
      </w:r>
    </w:p>
    <w:p w14:paraId="43BFDAF1" w14:textId="67D398A9" w:rsidR="00C93D49" w:rsidRPr="008729B5" w:rsidRDefault="0015069F" w:rsidP="0015069F">
      <w:pPr>
        <w:spacing w:before="0" w:after="0" w:line="276" w:lineRule="auto"/>
        <w:jc w:val="left"/>
        <w:rPr>
          <w:color w:val="000000" w:themeColor="text1"/>
          <w:szCs w:val="20"/>
        </w:rPr>
      </w:pPr>
      <w:r w:rsidRPr="00430D7B">
        <w:rPr>
          <w:rFonts w:cs="Calibri"/>
          <w:color w:val="000000" w:themeColor="text1"/>
          <w:szCs w:val="20"/>
        </w:rPr>
        <w:t xml:space="preserve">email: </w:t>
      </w:r>
      <w:r w:rsidRPr="00430D7B">
        <w:rPr>
          <w:szCs w:val="20"/>
        </w:rPr>
        <w:t>media@coltczgroup.com</w:t>
      </w:r>
      <w:r w:rsidRPr="00430D7B">
        <w:rPr>
          <w:szCs w:val="20"/>
        </w:rPr>
        <w:tab/>
      </w:r>
      <w:r w:rsidRPr="00430D7B">
        <w:rPr>
          <w:szCs w:val="20"/>
        </w:rPr>
        <w:tab/>
      </w:r>
      <w:r w:rsidRPr="00430D7B">
        <w:rPr>
          <w:szCs w:val="20"/>
        </w:rPr>
        <w:tab/>
      </w:r>
      <w:r>
        <w:rPr>
          <w:szCs w:val="20"/>
        </w:rPr>
        <w:tab/>
      </w:r>
      <w:r w:rsidRPr="00430D7B">
        <w:rPr>
          <w:rFonts w:cs="Calibri"/>
          <w:color w:val="000000" w:themeColor="text1"/>
          <w:szCs w:val="20"/>
        </w:rPr>
        <w:t xml:space="preserve">email: </w:t>
      </w:r>
      <w:r w:rsidRPr="00430D7B">
        <w:rPr>
          <w:szCs w:val="20"/>
        </w:rPr>
        <w:t>sipova@coltczgroup.com</w:t>
      </w:r>
      <w:r w:rsidR="00C93D49">
        <w:rPr>
          <w:color w:val="000000" w:themeColor="text1"/>
          <w:szCs w:val="20"/>
        </w:rPr>
        <w:br w:type="page"/>
      </w:r>
      <w:r w:rsidR="00C93D49" w:rsidRPr="006F5A8F">
        <w:rPr>
          <w:rFonts w:cs="Calibri"/>
          <w:color w:val="000000" w:themeColor="text1"/>
          <w:szCs w:val="20"/>
        </w:rPr>
        <w:lastRenderedPageBreak/>
        <w:t xml:space="preserve">Příloha: </w:t>
      </w:r>
    </w:p>
    <w:p w14:paraId="323F2A71" w14:textId="77777777" w:rsidR="00C93D49" w:rsidRPr="006F5A8F" w:rsidRDefault="00C93D49" w:rsidP="00C93D49">
      <w:pPr>
        <w:spacing w:before="0" w:after="0" w:line="276" w:lineRule="auto"/>
        <w:jc w:val="left"/>
        <w:rPr>
          <w:rFonts w:cs="Calibri"/>
          <w:color w:val="000000" w:themeColor="text1"/>
          <w:szCs w:val="20"/>
        </w:rPr>
      </w:pPr>
    </w:p>
    <w:p w14:paraId="3C4BF131" w14:textId="77777777" w:rsidR="00C93D49" w:rsidRPr="00DB2FA6" w:rsidRDefault="00C93D49" w:rsidP="00C93D49">
      <w:pPr>
        <w:spacing w:before="0" w:after="0" w:line="276" w:lineRule="auto"/>
        <w:jc w:val="left"/>
        <w:rPr>
          <w:rFonts w:cs="Calibri"/>
          <w:b/>
          <w:bCs/>
          <w:color w:val="000000" w:themeColor="text1"/>
          <w:szCs w:val="20"/>
        </w:rPr>
      </w:pPr>
      <w:r w:rsidRPr="00DB2FA6">
        <w:rPr>
          <w:rFonts w:cs="Calibri"/>
          <w:b/>
          <w:bCs/>
          <w:color w:val="000000" w:themeColor="text1"/>
          <w:szCs w:val="20"/>
        </w:rPr>
        <w:t>Upravená EBITDA</w:t>
      </w:r>
    </w:p>
    <w:tbl>
      <w:tblPr>
        <w:tblStyle w:val="Mkatabulky"/>
        <w:tblW w:w="8778" w:type="dxa"/>
        <w:tblLayout w:type="fixed"/>
        <w:tblLook w:val="04A0" w:firstRow="1" w:lastRow="0" w:firstColumn="1" w:lastColumn="0" w:noHBand="0" w:noVBand="1"/>
      </w:tblPr>
      <w:tblGrid>
        <w:gridCol w:w="2926"/>
        <w:gridCol w:w="2926"/>
        <w:gridCol w:w="2926"/>
      </w:tblGrid>
      <w:tr w:rsidR="00207FB6" w:rsidRPr="009F5874" w14:paraId="3FCA5F46" w14:textId="77777777" w:rsidTr="00207FB6">
        <w:trPr>
          <w:trHeight w:val="315"/>
        </w:trPr>
        <w:tc>
          <w:tcPr>
            <w:tcW w:w="2926" w:type="dxa"/>
            <w:noWrap/>
            <w:hideMark/>
          </w:tcPr>
          <w:p w14:paraId="4870AADC" w14:textId="77777777" w:rsidR="00207FB6" w:rsidRPr="009F5874" w:rsidRDefault="00207FB6" w:rsidP="00207FB6">
            <w:pPr>
              <w:spacing w:before="0" w:after="0" w:line="276" w:lineRule="auto"/>
              <w:jc w:val="left"/>
              <w:rPr>
                <w:rFonts w:cs="Calibri"/>
                <w:color w:val="000000" w:themeColor="text1"/>
                <w:szCs w:val="20"/>
              </w:rPr>
            </w:pPr>
            <w:r w:rsidRPr="009F5874">
              <w:rPr>
                <w:rFonts w:cs="Calibri"/>
                <w:color w:val="000000" w:themeColor="text1"/>
                <w:szCs w:val="20"/>
              </w:rPr>
              <w:t>V tis. Kč</w:t>
            </w:r>
          </w:p>
        </w:tc>
        <w:tc>
          <w:tcPr>
            <w:tcW w:w="2926" w:type="dxa"/>
            <w:noWrap/>
            <w:vAlign w:val="center"/>
            <w:hideMark/>
          </w:tcPr>
          <w:p w14:paraId="25578D65" w14:textId="351E2BDF" w:rsidR="00207FB6" w:rsidRPr="009F5874" w:rsidRDefault="00207FB6" w:rsidP="00207FB6">
            <w:pPr>
              <w:spacing w:before="0" w:after="0" w:line="276" w:lineRule="auto"/>
              <w:jc w:val="right"/>
              <w:rPr>
                <w:rFonts w:cs="Calibri"/>
                <w:color w:val="000000" w:themeColor="text1"/>
                <w:szCs w:val="20"/>
              </w:rPr>
            </w:pPr>
            <w:r w:rsidRPr="00D469AD">
              <w:rPr>
                <w:rFonts w:eastAsia="Calibri"/>
                <w:sz w:val="22"/>
              </w:rPr>
              <w:t xml:space="preserve">Za </w:t>
            </w:r>
            <w:r>
              <w:rPr>
                <w:rFonts w:eastAsia="Calibri"/>
                <w:sz w:val="22"/>
              </w:rPr>
              <w:t>1. čtvrtletí 2026</w:t>
            </w:r>
          </w:p>
        </w:tc>
        <w:tc>
          <w:tcPr>
            <w:tcW w:w="2926" w:type="dxa"/>
            <w:vAlign w:val="center"/>
          </w:tcPr>
          <w:p w14:paraId="11C2ECC3" w14:textId="64446613" w:rsidR="00207FB6" w:rsidRPr="00D469AD" w:rsidRDefault="00207FB6" w:rsidP="00207FB6">
            <w:pPr>
              <w:spacing w:before="0" w:after="0" w:line="276" w:lineRule="auto"/>
              <w:jc w:val="right"/>
              <w:rPr>
                <w:rFonts w:eastAsia="Calibri"/>
                <w:sz w:val="22"/>
              </w:rPr>
            </w:pPr>
            <w:r w:rsidRPr="00D469AD">
              <w:rPr>
                <w:rFonts w:eastAsia="Calibri"/>
                <w:sz w:val="22"/>
              </w:rPr>
              <w:t xml:space="preserve">Za </w:t>
            </w:r>
            <w:r>
              <w:rPr>
                <w:rFonts w:eastAsia="Calibri"/>
                <w:sz w:val="22"/>
              </w:rPr>
              <w:t>1. čtvrtletí 2025</w:t>
            </w:r>
          </w:p>
        </w:tc>
      </w:tr>
      <w:tr w:rsidR="00207FB6" w:rsidRPr="00DB2FA6" w14:paraId="43DA1929" w14:textId="77777777" w:rsidTr="00207FB6">
        <w:trPr>
          <w:trHeight w:val="315"/>
        </w:trPr>
        <w:tc>
          <w:tcPr>
            <w:tcW w:w="2926" w:type="dxa"/>
            <w:noWrap/>
            <w:hideMark/>
          </w:tcPr>
          <w:p w14:paraId="51B5D52C" w14:textId="77777777" w:rsidR="00207FB6" w:rsidRPr="009F5874" w:rsidRDefault="00207FB6" w:rsidP="00207FB6">
            <w:pPr>
              <w:spacing w:before="0" w:after="0" w:line="276" w:lineRule="auto"/>
              <w:jc w:val="left"/>
              <w:rPr>
                <w:rFonts w:cs="Calibri"/>
                <w:color w:val="000000" w:themeColor="text1"/>
                <w:szCs w:val="20"/>
              </w:rPr>
            </w:pPr>
          </w:p>
        </w:tc>
        <w:tc>
          <w:tcPr>
            <w:tcW w:w="2926" w:type="dxa"/>
            <w:noWrap/>
            <w:hideMark/>
          </w:tcPr>
          <w:p w14:paraId="47BFE388" w14:textId="77777777" w:rsidR="00207FB6" w:rsidRPr="009F5874" w:rsidRDefault="00207FB6" w:rsidP="00207FB6">
            <w:pPr>
              <w:spacing w:before="0" w:after="0" w:line="276" w:lineRule="auto"/>
              <w:jc w:val="left"/>
              <w:rPr>
                <w:rFonts w:cs="Calibri"/>
                <w:color w:val="000000" w:themeColor="text1"/>
                <w:szCs w:val="20"/>
              </w:rPr>
            </w:pPr>
          </w:p>
        </w:tc>
        <w:tc>
          <w:tcPr>
            <w:tcW w:w="2926" w:type="dxa"/>
          </w:tcPr>
          <w:p w14:paraId="1FD40669" w14:textId="77777777" w:rsidR="00207FB6" w:rsidRPr="009F5874" w:rsidRDefault="00207FB6" w:rsidP="00207FB6">
            <w:pPr>
              <w:spacing w:before="0" w:after="0" w:line="276" w:lineRule="auto"/>
              <w:jc w:val="left"/>
              <w:rPr>
                <w:rFonts w:cs="Calibri"/>
                <w:color w:val="000000" w:themeColor="text1"/>
                <w:szCs w:val="20"/>
              </w:rPr>
            </w:pPr>
          </w:p>
        </w:tc>
      </w:tr>
      <w:tr w:rsidR="00207FB6" w:rsidRPr="00DB2FA6" w14:paraId="6B8C714B" w14:textId="77777777" w:rsidTr="00207FB6">
        <w:trPr>
          <w:trHeight w:val="330"/>
        </w:trPr>
        <w:tc>
          <w:tcPr>
            <w:tcW w:w="2926" w:type="dxa"/>
            <w:noWrap/>
            <w:hideMark/>
          </w:tcPr>
          <w:p w14:paraId="21040EF1" w14:textId="77777777" w:rsidR="00207FB6" w:rsidRPr="009F5874" w:rsidRDefault="00207FB6" w:rsidP="00207FB6">
            <w:pPr>
              <w:spacing w:before="0" w:after="0" w:line="276" w:lineRule="auto"/>
              <w:jc w:val="left"/>
              <w:rPr>
                <w:rFonts w:cs="Calibri"/>
                <w:b/>
                <w:bCs/>
                <w:color w:val="000000" w:themeColor="text1"/>
                <w:szCs w:val="20"/>
              </w:rPr>
            </w:pPr>
            <w:r w:rsidRPr="009F5874">
              <w:rPr>
                <w:rFonts w:cs="Calibri"/>
                <w:b/>
                <w:bCs/>
                <w:color w:val="000000" w:themeColor="text1"/>
                <w:szCs w:val="20"/>
              </w:rPr>
              <w:t>EBITDA</w:t>
            </w:r>
          </w:p>
        </w:tc>
        <w:tc>
          <w:tcPr>
            <w:tcW w:w="2926" w:type="dxa"/>
            <w:noWrap/>
            <w:vAlign w:val="center"/>
          </w:tcPr>
          <w:p w14:paraId="44990222" w14:textId="58E2D2EC" w:rsidR="00207FB6" w:rsidRPr="009F5874" w:rsidRDefault="00F922D4" w:rsidP="00207FB6">
            <w:pPr>
              <w:spacing w:before="0" w:after="0" w:line="276" w:lineRule="auto"/>
              <w:jc w:val="right"/>
              <w:rPr>
                <w:rFonts w:cs="Calibri"/>
                <w:b/>
                <w:bCs/>
                <w:color w:val="000000" w:themeColor="text1"/>
                <w:szCs w:val="20"/>
              </w:rPr>
            </w:pPr>
            <w:r>
              <w:rPr>
                <w:rFonts w:cs="Calibri"/>
                <w:b/>
                <w:bCs/>
                <w:color w:val="000000" w:themeColor="text1"/>
                <w:szCs w:val="20"/>
              </w:rPr>
              <w:t>1 732 657</w:t>
            </w:r>
          </w:p>
        </w:tc>
        <w:tc>
          <w:tcPr>
            <w:tcW w:w="2926" w:type="dxa"/>
            <w:vAlign w:val="center"/>
          </w:tcPr>
          <w:p w14:paraId="3106FE53" w14:textId="2F0CCDDB" w:rsidR="00207FB6" w:rsidRDefault="00207FB6" w:rsidP="00207FB6">
            <w:pPr>
              <w:spacing w:before="0" w:after="0" w:line="276" w:lineRule="auto"/>
              <w:jc w:val="right"/>
              <w:rPr>
                <w:rFonts w:cs="Calibri"/>
                <w:b/>
                <w:bCs/>
                <w:color w:val="000000" w:themeColor="text1"/>
                <w:szCs w:val="20"/>
              </w:rPr>
            </w:pPr>
            <w:r>
              <w:rPr>
                <w:rFonts w:cs="Calibri"/>
                <w:b/>
                <w:bCs/>
                <w:color w:val="000000" w:themeColor="text1"/>
                <w:szCs w:val="20"/>
              </w:rPr>
              <w:t>1 204 830</w:t>
            </w:r>
          </w:p>
        </w:tc>
      </w:tr>
      <w:tr w:rsidR="00207FB6" w:rsidRPr="00DB2FA6" w14:paraId="75B7FEC9" w14:textId="77777777" w:rsidTr="00207FB6">
        <w:trPr>
          <w:trHeight w:val="330"/>
        </w:trPr>
        <w:tc>
          <w:tcPr>
            <w:tcW w:w="2926" w:type="dxa"/>
            <w:noWrap/>
            <w:hideMark/>
          </w:tcPr>
          <w:p w14:paraId="05E33792" w14:textId="77777777" w:rsidR="00207FB6" w:rsidRPr="00B85AC8" w:rsidRDefault="00207FB6" w:rsidP="00207FB6">
            <w:pPr>
              <w:spacing w:before="0" w:after="0" w:line="276" w:lineRule="auto"/>
              <w:jc w:val="left"/>
              <w:rPr>
                <w:rFonts w:cs="Calibri"/>
                <w:color w:val="000000" w:themeColor="text1"/>
                <w:szCs w:val="20"/>
              </w:rPr>
            </w:pPr>
            <w:r w:rsidRPr="00B85AC8">
              <w:rPr>
                <w:rFonts w:cs="Calibri"/>
                <w:color w:val="000000" w:themeColor="text1"/>
                <w:szCs w:val="20"/>
              </w:rPr>
              <w:t>ESOP</w:t>
            </w:r>
          </w:p>
        </w:tc>
        <w:tc>
          <w:tcPr>
            <w:tcW w:w="2926" w:type="dxa"/>
            <w:noWrap/>
            <w:vAlign w:val="center"/>
          </w:tcPr>
          <w:p w14:paraId="78DFA9CA" w14:textId="715C1F8F" w:rsidR="00207FB6" w:rsidRPr="00B85AC8" w:rsidRDefault="00F922D4" w:rsidP="00207FB6">
            <w:pPr>
              <w:spacing w:before="0" w:after="0" w:line="276" w:lineRule="auto"/>
              <w:jc w:val="right"/>
              <w:rPr>
                <w:rFonts w:cs="Calibri"/>
                <w:color w:val="000000" w:themeColor="text1"/>
                <w:szCs w:val="20"/>
              </w:rPr>
            </w:pPr>
            <w:r>
              <w:rPr>
                <w:rFonts w:cs="Calibri"/>
                <w:color w:val="000000" w:themeColor="text1"/>
                <w:szCs w:val="20"/>
              </w:rPr>
              <w:t>0</w:t>
            </w:r>
          </w:p>
        </w:tc>
        <w:tc>
          <w:tcPr>
            <w:tcW w:w="2926" w:type="dxa"/>
            <w:vAlign w:val="center"/>
          </w:tcPr>
          <w:p w14:paraId="5E641322" w14:textId="19421411" w:rsidR="00207FB6" w:rsidRDefault="00207FB6" w:rsidP="00207FB6">
            <w:pPr>
              <w:spacing w:before="0" w:after="0"/>
              <w:jc w:val="right"/>
              <w:rPr>
                <w:rFonts w:eastAsia="Calibri" w:cs="Calibri"/>
                <w:color w:val="000000" w:themeColor="text1"/>
                <w:szCs w:val="20"/>
              </w:rPr>
            </w:pPr>
            <w:r>
              <w:rPr>
                <w:rFonts w:cs="Calibri"/>
                <w:color w:val="000000" w:themeColor="text1"/>
                <w:szCs w:val="20"/>
              </w:rPr>
              <w:t>16 123</w:t>
            </w:r>
          </w:p>
        </w:tc>
      </w:tr>
      <w:tr w:rsidR="00207FB6" w:rsidRPr="00B56B63" w14:paraId="1952AF46" w14:textId="77777777" w:rsidTr="00207FB6">
        <w:trPr>
          <w:trHeight w:val="315"/>
        </w:trPr>
        <w:tc>
          <w:tcPr>
            <w:tcW w:w="2926" w:type="dxa"/>
            <w:noWrap/>
            <w:hideMark/>
          </w:tcPr>
          <w:p w14:paraId="2EB66A8B" w14:textId="7633B7E4" w:rsidR="00207FB6" w:rsidRPr="00B85AC8" w:rsidRDefault="00207FB6" w:rsidP="00207FB6">
            <w:pPr>
              <w:spacing w:before="0" w:after="0" w:line="276" w:lineRule="auto"/>
              <w:jc w:val="left"/>
              <w:rPr>
                <w:rFonts w:cs="Calibri"/>
                <w:color w:val="000000" w:themeColor="text1"/>
                <w:szCs w:val="20"/>
              </w:rPr>
            </w:pPr>
            <w:r w:rsidRPr="00B85AC8">
              <w:rPr>
                <w:rFonts w:cs="Calibri"/>
                <w:color w:val="000000" w:themeColor="text1"/>
                <w:szCs w:val="20"/>
              </w:rPr>
              <w:t xml:space="preserve">M&amp;A </w:t>
            </w:r>
          </w:p>
        </w:tc>
        <w:tc>
          <w:tcPr>
            <w:tcW w:w="2926" w:type="dxa"/>
            <w:noWrap/>
            <w:vAlign w:val="center"/>
          </w:tcPr>
          <w:p w14:paraId="3D826A80" w14:textId="2F912981" w:rsidR="00207FB6" w:rsidRPr="00B85AC8" w:rsidRDefault="00F922D4" w:rsidP="00207FB6">
            <w:pPr>
              <w:spacing w:before="0" w:after="0" w:line="276" w:lineRule="auto"/>
              <w:jc w:val="right"/>
              <w:rPr>
                <w:rFonts w:cs="Calibri"/>
                <w:color w:val="000000" w:themeColor="text1"/>
                <w:szCs w:val="20"/>
              </w:rPr>
            </w:pPr>
            <w:r>
              <w:rPr>
                <w:rFonts w:cs="Calibri"/>
                <w:color w:val="000000" w:themeColor="text1"/>
                <w:szCs w:val="20"/>
              </w:rPr>
              <w:t>2 716</w:t>
            </w:r>
          </w:p>
        </w:tc>
        <w:tc>
          <w:tcPr>
            <w:tcW w:w="2926" w:type="dxa"/>
            <w:vAlign w:val="center"/>
          </w:tcPr>
          <w:p w14:paraId="48E7DE66" w14:textId="17088AEC" w:rsidR="00207FB6" w:rsidRDefault="00207FB6" w:rsidP="00207FB6">
            <w:pPr>
              <w:spacing w:before="0" w:after="0"/>
              <w:jc w:val="right"/>
              <w:rPr>
                <w:rFonts w:eastAsia="Calibri" w:cs="Calibri"/>
                <w:color w:val="000000" w:themeColor="text1"/>
                <w:szCs w:val="20"/>
              </w:rPr>
            </w:pPr>
            <w:r>
              <w:rPr>
                <w:rFonts w:cs="Calibri"/>
                <w:color w:val="000000" w:themeColor="text1"/>
                <w:szCs w:val="20"/>
              </w:rPr>
              <w:t>3 339</w:t>
            </w:r>
          </w:p>
        </w:tc>
      </w:tr>
      <w:tr w:rsidR="00207FB6" w:rsidRPr="00B56B63" w14:paraId="50FFF80F" w14:textId="77777777" w:rsidTr="00207FB6">
        <w:trPr>
          <w:trHeight w:val="330"/>
        </w:trPr>
        <w:tc>
          <w:tcPr>
            <w:tcW w:w="2926" w:type="dxa"/>
            <w:noWrap/>
            <w:hideMark/>
          </w:tcPr>
          <w:p w14:paraId="352B4714" w14:textId="77777777" w:rsidR="00207FB6" w:rsidRPr="00B56B63" w:rsidRDefault="00207FB6" w:rsidP="00207FB6">
            <w:pPr>
              <w:spacing w:before="0" w:after="0" w:line="276" w:lineRule="auto"/>
              <w:jc w:val="left"/>
              <w:rPr>
                <w:rFonts w:cs="Calibri"/>
                <w:color w:val="000000" w:themeColor="text1"/>
                <w:szCs w:val="20"/>
              </w:rPr>
            </w:pPr>
            <w:r w:rsidRPr="00B56B63">
              <w:rPr>
                <w:rFonts w:cs="Calibri"/>
                <w:color w:val="000000" w:themeColor="text1"/>
                <w:szCs w:val="20"/>
              </w:rPr>
              <w:t>S&amp;B hedging komodit</w:t>
            </w:r>
          </w:p>
        </w:tc>
        <w:tc>
          <w:tcPr>
            <w:tcW w:w="2926" w:type="dxa"/>
            <w:noWrap/>
            <w:vAlign w:val="center"/>
          </w:tcPr>
          <w:p w14:paraId="13DE76CF" w14:textId="2DA69A43" w:rsidR="00207FB6" w:rsidRPr="00B56B63" w:rsidRDefault="00F922D4" w:rsidP="00207FB6">
            <w:pPr>
              <w:spacing w:before="0" w:after="0" w:line="276" w:lineRule="auto"/>
              <w:jc w:val="right"/>
              <w:rPr>
                <w:rFonts w:cs="Calibri"/>
                <w:color w:val="000000" w:themeColor="text1"/>
                <w:szCs w:val="20"/>
              </w:rPr>
            </w:pPr>
            <w:r>
              <w:rPr>
                <w:rFonts w:cs="Calibri"/>
                <w:color w:val="000000" w:themeColor="text1"/>
                <w:szCs w:val="20"/>
              </w:rPr>
              <w:t>67 585</w:t>
            </w:r>
          </w:p>
        </w:tc>
        <w:tc>
          <w:tcPr>
            <w:tcW w:w="2926" w:type="dxa"/>
            <w:vAlign w:val="center"/>
          </w:tcPr>
          <w:p w14:paraId="326673D8" w14:textId="3DC642CC" w:rsidR="00207FB6" w:rsidRPr="00C7757A" w:rsidRDefault="00207FB6" w:rsidP="00207FB6">
            <w:pPr>
              <w:spacing w:before="0" w:after="0" w:line="276" w:lineRule="auto"/>
              <w:jc w:val="right"/>
              <w:rPr>
                <w:rFonts w:cs="Calibri"/>
                <w:color w:val="000000" w:themeColor="text1"/>
                <w:szCs w:val="20"/>
              </w:rPr>
            </w:pPr>
            <w:r>
              <w:rPr>
                <w:rFonts w:cs="Calibri"/>
                <w:color w:val="000000" w:themeColor="text1"/>
                <w:szCs w:val="20"/>
              </w:rPr>
              <w:t>-12 627</w:t>
            </w:r>
          </w:p>
        </w:tc>
      </w:tr>
      <w:tr w:rsidR="00F922D4" w:rsidRPr="00B56B63" w14:paraId="7CE67B28" w14:textId="77777777" w:rsidTr="00207FB6">
        <w:trPr>
          <w:trHeight w:val="330"/>
        </w:trPr>
        <w:tc>
          <w:tcPr>
            <w:tcW w:w="2926" w:type="dxa"/>
            <w:noWrap/>
          </w:tcPr>
          <w:p w14:paraId="0EB25E45" w14:textId="6BA48FCF" w:rsidR="00F922D4" w:rsidRPr="00B56B63" w:rsidRDefault="00F922D4" w:rsidP="00207FB6">
            <w:pPr>
              <w:spacing w:before="0" w:after="0" w:line="276" w:lineRule="auto"/>
              <w:jc w:val="left"/>
              <w:rPr>
                <w:rFonts w:cs="Calibri"/>
                <w:color w:val="000000" w:themeColor="text1"/>
                <w:szCs w:val="20"/>
              </w:rPr>
            </w:pPr>
            <w:r>
              <w:rPr>
                <w:rFonts w:cs="Calibri"/>
                <w:color w:val="000000" w:themeColor="text1"/>
                <w:szCs w:val="20"/>
              </w:rPr>
              <w:t>Přecenění zásob SNC a VSS</w:t>
            </w:r>
          </w:p>
        </w:tc>
        <w:tc>
          <w:tcPr>
            <w:tcW w:w="2926" w:type="dxa"/>
            <w:noWrap/>
            <w:vAlign w:val="center"/>
          </w:tcPr>
          <w:p w14:paraId="6BD72586" w14:textId="5D9590BC" w:rsidR="00F922D4" w:rsidRPr="00B56B63" w:rsidRDefault="00F922D4" w:rsidP="00207FB6">
            <w:pPr>
              <w:spacing w:before="0" w:after="0" w:line="276" w:lineRule="auto"/>
              <w:jc w:val="right"/>
              <w:rPr>
                <w:rFonts w:cs="Calibri"/>
                <w:color w:val="000000" w:themeColor="text1"/>
                <w:szCs w:val="20"/>
              </w:rPr>
            </w:pPr>
            <w:r>
              <w:rPr>
                <w:rFonts w:cs="Calibri"/>
                <w:color w:val="000000" w:themeColor="text1"/>
                <w:szCs w:val="20"/>
              </w:rPr>
              <w:t>282 879</w:t>
            </w:r>
          </w:p>
        </w:tc>
        <w:tc>
          <w:tcPr>
            <w:tcW w:w="2926" w:type="dxa"/>
            <w:vAlign w:val="center"/>
          </w:tcPr>
          <w:p w14:paraId="37C7892E" w14:textId="4DDE663F" w:rsidR="00F922D4" w:rsidRDefault="00F922D4" w:rsidP="00207FB6">
            <w:pPr>
              <w:spacing w:before="0" w:after="0" w:line="276" w:lineRule="auto"/>
              <w:jc w:val="right"/>
              <w:rPr>
                <w:rFonts w:cs="Calibri"/>
                <w:color w:val="000000" w:themeColor="text1"/>
                <w:szCs w:val="20"/>
              </w:rPr>
            </w:pPr>
            <w:r>
              <w:rPr>
                <w:rFonts w:cs="Calibri"/>
                <w:color w:val="000000" w:themeColor="text1"/>
                <w:szCs w:val="20"/>
              </w:rPr>
              <w:t>0</w:t>
            </w:r>
          </w:p>
        </w:tc>
      </w:tr>
      <w:tr w:rsidR="00207FB6" w:rsidRPr="00B56B63" w14:paraId="03B9A3C8" w14:textId="77777777" w:rsidTr="00207FB6">
        <w:trPr>
          <w:trHeight w:val="330"/>
        </w:trPr>
        <w:tc>
          <w:tcPr>
            <w:tcW w:w="2926" w:type="dxa"/>
            <w:noWrap/>
          </w:tcPr>
          <w:p w14:paraId="58C8E49E" w14:textId="77777777" w:rsidR="00207FB6" w:rsidRPr="00B56B63" w:rsidRDefault="00207FB6" w:rsidP="00207FB6">
            <w:pPr>
              <w:spacing w:before="0" w:after="0" w:line="276" w:lineRule="auto"/>
              <w:jc w:val="left"/>
              <w:rPr>
                <w:rFonts w:cs="Calibri"/>
                <w:color w:val="000000" w:themeColor="text1"/>
                <w:szCs w:val="20"/>
              </w:rPr>
            </w:pPr>
          </w:p>
        </w:tc>
        <w:tc>
          <w:tcPr>
            <w:tcW w:w="2926" w:type="dxa"/>
            <w:noWrap/>
            <w:vAlign w:val="center"/>
          </w:tcPr>
          <w:p w14:paraId="2DF769A0" w14:textId="77777777" w:rsidR="00207FB6" w:rsidRPr="00B56B63" w:rsidRDefault="00207FB6" w:rsidP="00207FB6">
            <w:pPr>
              <w:spacing w:before="0" w:after="0" w:line="276" w:lineRule="auto"/>
              <w:jc w:val="right"/>
              <w:rPr>
                <w:rFonts w:cs="Calibri"/>
                <w:color w:val="000000" w:themeColor="text1"/>
                <w:szCs w:val="20"/>
              </w:rPr>
            </w:pPr>
          </w:p>
        </w:tc>
        <w:tc>
          <w:tcPr>
            <w:tcW w:w="2926" w:type="dxa"/>
            <w:vAlign w:val="center"/>
          </w:tcPr>
          <w:p w14:paraId="079BEC01" w14:textId="77777777" w:rsidR="00207FB6" w:rsidRDefault="00207FB6" w:rsidP="00207FB6">
            <w:pPr>
              <w:spacing w:before="0" w:after="0" w:line="276" w:lineRule="auto"/>
              <w:jc w:val="right"/>
              <w:rPr>
                <w:rFonts w:cs="Calibri"/>
                <w:color w:val="000000" w:themeColor="text1"/>
                <w:szCs w:val="20"/>
              </w:rPr>
            </w:pPr>
          </w:p>
        </w:tc>
      </w:tr>
      <w:tr w:rsidR="00207FB6" w:rsidRPr="00B56B63" w14:paraId="609E1DA8" w14:textId="77777777" w:rsidTr="00207FB6">
        <w:trPr>
          <w:trHeight w:val="330"/>
        </w:trPr>
        <w:tc>
          <w:tcPr>
            <w:tcW w:w="2926" w:type="dxa"/>
            <w:noWrap/>
            <w:hideMark/>
          </w:tcPr>
          <w:p w14:paraId="06DC4752" w14:textId="77777777" w:rsidR="00207FB6" w:rsidRPr="00B56B63" w:rsidRDefault="00207FB6" w:rsidP="00207FB6">
            <w:pPr>
              <w:spacing w:before="0" w:after="0" w:line="276" w:lineRule="auto"/>
              <w:jc w:val="left"/>
              <w:rPr>
                <w:rFonts w:cs="Calibri"/>
                <w:b/>
                <w:bCs/>
                <w:color w:val="000000" w:themeColor="text1"/>
                <w:szCs w:val="20"/>
              </w:rPr>
            </w:pPr>
            <w:r w:rsidRPr="00B56B63">
              <w:rPr>
                <w:rFonts w:cs="Calibri"/>
                <w:b/>
                <w:bCs/>
                <w:color w:val="000000" w:themeColor="text1"/>
                <w:szCs w:val="20"/>
              </w:rPr>
              <w:t>Upravená EBITDA</w:t>
            </w:r>
          </w:p>
        </w:tc>
        <w:tc>
          <w:tcPr>
            <w:tcW w:w="2926" w:type="dxa"/>
            <w:noWrap/>
            <w:vAlign w:val="center"/>
          </w:tcPr>
          <w:p w14:paraId="4DC02F1B" w14:textId="2508A3C4" w:rsidR="00207FB6" w:rsidRPr="00B56B63" w:rsidRDefault="00F922D4" w:rsidP="00207FB6">
            <w:pPr>
              <w:spacing w:before="0" w:after="0" w:line="276" w:lineRule="auto"/>
              <w:jc w:val="right"/>
              <w:rPr>
                <w:rFonts w:cs="Calibri"/>
                <w:b/>
                <w:bCs/>
                <w:color w:val="000000" w:themeColor="text1"/>
                <w:szCs w:val="20"/>
              </w:rPr>
            </w:pPr>
            <w:r>
              <w:rPr>
                <w:rFonts w:cs="Calibri"/>
                <w:b/>
                <w:bCs/>
                <w:color w:val="000000" w:themeColor="text1"/>
                <w:szCs w:val="20"/>
              </w:rPr>
              <w:t>2 085 837</w:t>
            </w:r>
          </w:p>
        </w:tc>
        <w:tc>
          <w:tcPr>
            <w:tcW w:w="2926" w:type="dxa"/>
            <w:vAlign w:val="center"/>
          </w:tcPr>
          <w:p w14:paraId="3269EB2B" w14:textId="79FD5563" w:rsidR="00207FB6" w:rsidRDefault="00207FB6" w:rsidP="00207FB6">
            <w:pPr>
              <w:spacing w:before="0" w:after="0" w:line="276" w:lineRule="auto"/>
              <w:jc w:val="right"/>
              <w:rPr>
                <w:rFonts w:cs="Calibri"/>
                <w:b/>
                <w:bCs/>
                <w:color w:val="000000" w:themeColor="text1"/>
                <w:szCs w:val="20"/>
              </w:rPr>
            </w:pPr>
            <w:r>
              <w:rPr>
                <w:rFonts w:cs="Calibri"/>
                <w:b/>
                <w:bCs/>
                <w:color w:val="000000" w:themeColor="text1"/>
                <w:szCs w:val="20"/>
              </w:rPr>
              <w:t>1 211 665</w:t>
            </w:r>
          </w:p>
        </w:tc>
      </w:tr>
      <w:tr w:rsidR="00207FB6" w:rsidRPr="00B56B63" w14:paraId="1036A5DF" w14:textId="77777777" w:rsidTr="00207FB6">
        <w:trPr>
          <w:trHeight w:val="315"/>
        </w:trPr>
        <w:tc>
          <w:tcPr>
            <w:tcW w:w="2926" w:type="dxa"/>
            <w:noWrap/>
            <w:hideMark/>
          </w:tcPr>
          <w:p w14:paraId="2CE4A899" w14:textId="58F28550" w:rsidR="00207FB6" w:rsidRPr="00B56B63" w:rsidRDefault="00F922D4" w:rsidP="00207FB6">
            <w:pPr>
              <w:spacing w:before="0" w:after="0" w:line="276" w:lineRule="auto"/>
              <w:jc w:val="left"/>
              <w:rPr>
                <w:rFonts w:cs="Calibri"/>
                <w:color w:val="000000" w:themeColor="text1"/>
                <w:szCs w:val="20"/>
              </w:rPr>
            </w:pPr>
            <w:r>
              <w:rPr>
                <w:rFonts w:cs="Calibri"/>
                <w:color w:val="000000" w:themeColor="text1"/>
                <w:szCs w:val="20"/>
              </w:rPr>
              <w:t xml:space="preserve">Upr. </w:t>
            </w:r>
            <w:r w:rsidR="00207FB6" w:rsidRPr="00B56B63">
              <w:rPr>
                <w:rFonts w:cs="Calibri"/>
                <w:color w:val="000000" w:themeColor="text1"/>
                <w:szCs w:val="20"/>
              </w:rPr>
              <w:t>EBITDA marže</w:t>
            </w:r>
          </w:p>
        </w:tc>
        <w:tc>
          <w:tcPr>
            <w:tcW w:w="2926" w:type="dxa"/>
            <w:noWrap/>
            <w:vAlign w:val="center"/>
          </w:tcPr>
          <w:p w14:paraId="023434BB" w14:textId="167A082C" w:rsidR="00207FB6" w:rsidRPr="00B56B63" w:rsidRDefault="00F922D4" w:rsidP="00207FB6">
            <w:pPr>
              <w:spacing w:before="0" w:after="0"/>
              <w:jc w:val="right"/>
              <w:rPr>
                <w:rFonts w:eastAsia="Calibri" w:cs="Calibri"/>
                <w:color w:val="000000" w:themeColor="text1"/>
                <w:szCs w:val="20"/>
              </w:rPr>
            </w:pPr>
            <w:r>
              <w:rPr>
                <w:rFonts w:eastAsia="Calibri" w:cs="Calibri"/>
                <w:color w:val="000000" w:themeColor="text1"/>
                <w:szCs w:val="20"/>
              </w:rPr>
              <w:t>28,5 %</w:t>
            </w:r>
          </w:p>
        </w:tc>
        <w:tc>
          <w:tcPr>
            <w:tcW w:w="2926" w:type="dxa"/>
            <w:vAlign w:val="center"/>
          </w:tcPr>
          <w:p w14:paraId="6B3E9EC9" w14:textId="06C1A989" w:rsidR="00207FB6" w:rsidRDefault="00207FB6" w:rsidP="00207FB6">
            <w:pPr>
              <w:spacing w:before="0" w:after="0"/>
              <w:jc w:val="right"/>
              <w:rPr>
                <w:rFonts w:eastAsia="Calibri" w:cs="Calibri"/>
                <w:color w:val="000000" w:themeColor="text1"/>
                <w:szCs w:val="20"/>
              </w:rPr>
            </w:pPr>
            <w:r>
              <w:rPr>
                <w:rFonts w:eastAsia="Calibri" w:cs="Calibri"/>
                <w:color w:val="000000" w:themeColor="text1"/>
                <w:szCs w:val="20"/>
              </w:rPr>
              <w:t xml:space="preserve">22,0 </w:t>
            </w:r>
            <w:r w:rsidRPr="00C7757A">
              <w:rPr>
                <w:rFonts w:eastAsia="Calibri" w:cs="Calibri"/>
                <w:color w:val="000000" w:themeColor="text1"/>
                <w:szCs w:val="20"/>
              </w:rPr>
              <w:t>%</w:t>
            </w:r>
          </w:p>
        </w:tc>
      </w:tr>
    </w:tbl>
    <w:p w14:paraId="0B470ABD" w14:textId="77777777" w:rsidR="00FF023F" w:rsidRPr="00B56B63" w:rsidRDefault="00FF023F" w:rsidP="00C93D49">
      <w:pPr>
        <w:spacing w:before="0" w:after="0" w:line="276" w:lineRule="auto"/>
        <w:jc w:val="left"/>
        <w:rPr>
          <w:rFonts w:cs="Calibri"/>
          <w:color w:val="000000" w:themeColor="text1"/>
          <w:szCs w:val="20"/>
          <w:lang w:val="en-US"/>
        </w:rPr>
      </w:pPr>
    </w:p>
    <w:p w14:paraId="03012995" w14:textId="77777777" w:rsidR="00C93D49" w:rsidRPr="00B56B63" w:rsidRDefault="00C93D49" w:rsidP="00C93D49">
      <w:pPr>
        <w:spacing w:before="0" w:after="0" w:line="276" w:lineRule="auto"/>
        <w:jc w:val="left"/>
        <w:rPr>
          <w:rFonts w:cs="Calibri"/>
          <w:color w:val="000000" w:themeColor="text1"/>
          <w:szCs w:val="20"/>
          <w:lang w:val="en-US"/>
        </w:rPr>
      </w:pPr>
      <w:r w:rsidRPr="00B56B63">
        <w:rPr>
          <w:rFonts w:cs="Calibri"/>
          <w:b/>
          <w:bCs/>
          <w:color w:val="000000" w:themeColor="text1"/>
          <w:szCs w:val="20"/>
        </w:rPr>
        <w:t>Upravený výsledek hospodaření</w:t>
      </w:r>
    </w:p>
    <w:tbl>
      <w:tblPr>
        <w:tblStyle w:val="Mkatabulky"/>
        <w:tblW w:w="5001" w:type="pct"/>
        <w:tblLayout w:type="fixed"/>
        <w:tblLook w:val="04A0" w:firstRow="1" w:lastRow="0" w:firstColumn="1" w:lastColumn="0" w:noHBand="0" w:noVBand="1"/>
      </w:tblPr>
      <w:tblGrid>
        <w:gridCol w:w="2926"/>
        <w:gridCol w:w="2928"/>
        <w:gridCol w:w="2926"/>
      </w:tblGrid>
      <w:tr w:rsidR="00207FB6" w:rsidRPr="00B56B63" w14:paraId="48C209BF" w14:textId="77777777" w:rsidTr="00CF5681">
        <w:trPr>
          <w:trHeight w:val="315"/>
        </w:trPr>
        <w:tc>
          <w:tcPr>
            <w:tcW w:w="1666" w:type="pct"/>
            <w:noWrap/>
            <w:hideMark/>
          </w:tcPr>
          <w:p w14:paraId="5EA4F7FE" w14:textId="77777777" w:rsidR="00207FB6" w:rsidRPr="00B56B63" w:rsidRDefault="00207FB6" w:rsidP="00207FB6">
            <w:pPr>
              <w:spacing w:before="0" w:after="0" w:line="276" w:lineRule="auto"/>
              <w:jc w:val="left"/>
              <w:rPr>
                <w:rFonts w:cs="Calibri"/>
                <w:color w:val="000000" w:themeColor="text1"/>
                <w:szCs w:val="20"/>
              </w:rPr>
            </w:pPr>
            <w:r w:rsidRPr="00B56B63">
              <w:rPr>
                <w:rFonts w:cs="Calibri"/>
                <w:color w:val="000000" w:themeColor="text1"/>
                <w:szCs w:val="20"/>
              </w:rPr>
              <w:t>V tis. Kč</w:t>
            </w:r>
          </w:p>
        </w:tc>
        <w:tc>
          <w:tcPr>
            <w:tcW w:w="1667" w:type="pct"/>
            <w:noWrap/>
            <w:vAlign w:val="center"/>
            <w:hideMark/>
          </w:tcPr>
          <w:p w14:paraId="79CAB452" w14:textId="5D5F7BC2" w:rsidR="00207FB6" w:rsidRPr="00B56B63" w:rsidRDefault="00207FB6" w:rsidP="00207FB6">
            <w:pPr>
              <w:spacing w:before="0" w:after="0" w:line="276" w:lineRule="auto"/>
              <w:jc w:val="right"/>
              <w:rPr>
                <w:rFonts w:cs="Calibri"/>
                <w:color w:val="000000" w:themeColor="text1"/>
                <w:szCs w:val="20"/>
              </w:rPr>
            </w:pPr>
            <w:r w:rsidRPr="00D469AD">
              <w:rPr>
                <w:rFonts w:eastAsia="Calibri"/>
                <w:sz w:val="22"/>
              </w:rPr>
              <w:t xml:space="preserve">Za </w:t>
            </w:r>
            <w:r>
              <w:rPr>
                <w:rFonts w:eastAsia="Calibri"/>
                <w:sz w:val="22"/>
              </w:rPr>
              <w:t>1. čtvrtletí 2026</w:t>
            </w:r>
          </w:p>
        </w:tc>
        <w:tc>
          <w:tcPr>
            <w:tcW w:w="1666" w:type="pct"/>
            <w:vAlign w:val="center"/>
          </w:tcPr>
          <w:p w14:paraId="61770402" w14:textId="09385E17" w:rsidR="00207FB6" w:rsidRPr="00D469AD" w:rsidRDefault="00207FB6" w:rsidP="00207FB6">
            <w:pPr>
              <w:spacing w:before="0" w:after="0" w:line="276" w:lineRule="auto"/>
              <w:jc w:val="right"/>
              <w:rPr>
                <w:rFonts w:eastAsia="Calibri"/>
                <w:sz w:val="22"/>
              </w:rPr>
            </w:pPr>
            <w:r w:rsidRPr="00D469AD">
              <w:rPr>
                <w:rFonts w:eastAsia="Calibri"/>
                <w:sz w:val="22"/>
              </w:rPr>
              <w:t xml:space="preserve">Za </w:t>
            </w:r>
            <w:r>
              <w:rPr>
                <w:rFonts w:eastAsia="Calibri"/>
                <w:sz w:val="22"/>
              </w:rPr>
              <w:t>1. čtvrtletí 2025</w:t>
            </w:r>
          </w:p>
        </w:tc>
      </w:tr>
      <w:tr w:rsidR="00207FB6" w:rsidRPr="00B56B63" w14:paraId="0A38A3EB" w14:textId="77777777" w:rsidTr="00CF5681">
        <w:trPr>
          <w:trHeight w:val="315"/>
        </w:trPr>
        <w:tc>
          <w:tcPr>
            <w:tcW w:w="1666" w:type="pct"/>
            <w:noWrap/>
          </w:tcPr>
          <w:p w14:paraId="56FCB2D6" w14:textId="77777777" w:rsidR="00207FB6" w:rsidRPr="00B56B63" w:rsidRDefault="00207FB6" w:rsidP="00207FB6">
            <w:pPr>
              <w:spacing w:before="0" w:after="0" w:line="276" w:lineRule="auto"/>
              <w:jc w:val="left"/>
              <w:rPr>
                <w:rFonts w:cs="Calibri"/>
                <w:color w:val="000000" w:themeColor="text1"/>
                <w:szCs w:val="20"/>
              </w:rPr>
            </w:pPr>
          </w:p>
        </w:tc>
        <w:tc>
          <w:tcPr>
            <w:tcW w:w="1667" w:type="pct"/>
            <w:noWrap/>
          </w:tcPr>
          <w:p w14:paraId="37659C67" w14:textId="77777777" w:rsidR="00207FB6" w:rsidRPr="00B56B63" w:rsidRDefault="00207FB6" w:rsidP="00207FB6">
            <w:pPr>
              <w:spacing w:before="0" w:after="0" w:line="276" w:lineRule="auto"/>
              <w:jc w:val="left"/>
              <w:rPr>
                <w:rFonts w:cs="Calibri"/>
                <w:color w:val="000000" w:themeColor="text1"/>
                <w:szCs w:val="20"/>
              </w:rPr>
            </w:pPr>
          </w:p>
        </w:tc>
        <w:tc>
          <w:tcPr>
            <w:tcW w:w="1666" w:type="pct"/>
          </w:tcPr>
          <w:p w14:paraId="4297827C" w14:textId="77777777" w:rsidR="00207FB6" w:rsidRPr="00B56B63" w:rsidRDefault="00207FB6" w:rsidP="00207FB6">
            <w:pPr>
              <w:spacing w:before="0" w:after="0" w:line="276" w:lineRule="auto"/>
              <w:jc w:val="left"/>
              <w:rPr>
                <w:rFonts w:cs="Calibri"/>
                <w:color w:val="000000" w:themeColor="text1"/>
                <w:szCs w:val="20"/>
              </w:rPr>
            </w:pPr>
          </w:p>
        </w:tc>
      </w:tr>
      <w:tr w:rsidR="00207FB6" w:rsidRPr="00B56B63" w14:paraId="511101DA" w14:textId="77777777" w:rsidTr="00CF5681">
        <w:trPr>
          <w:trHeight w:val="315"/>
        </w:trPr>
        <w:tc>
          <w:tcPr>
            <w:tcW w:w="1666" w:type="pct"/>
            <w:noWrap/>
            <w:hideMark/>
          </w:tcPr>
          <w:p w14:paraId="39F511F6" w14:textId="77777777" w:rsidR="00207FB6" w:rsidRPr="00B56B63" w:rsidRDefault="00207FB6" w:rsidP="00207FB6">
            <w:pPr>
              <w:spacing w:before="0" w:after="0" w:line="276" w:lineRule="auto"/>
              <w:jc w:val="left"/>
              <w:rPr>
                <w:rFonts w:cs="Calibri"/>
                <w:b/>
                <w:bCs/>
                <w:color w:val="000000" w:themeColor="text1"/>
                <w:szCs w:val="20"/>
              </w:rPr>
            </w:pPr>
            <w:r w:rsidRPr="00B56B63">
              <w:rPr>
                <w:rFonts w:cs="Calibri"/>
                <w:b/>
                <w:bCs/>
                <w:color w:val="000000" w:themeColor="text1"/>
                <w:szCs w:val="20"/>
              </w:rPr>
              <w:t>Výsledek hospodaření před zdaněním</w:t>
            </w:r>
          </w:p>
        </w:tc>
        <w:tc>
          <w:tcPr>
            <w:tcW w:w="1667" w:type="pct"/>
            <w:noWrap/>
            <w:vAlign w:val="center"/>
          </w:tcPr>
          <w:p w14:paraId="3FB2E992" w14:textId="1090D3EA" w:rsidR="00207FB6" w:rsidRPr="00B56B63" w:rsidRDefault="00F922D4" w:rsidP="00207FB6">
            <w:pPr>
              <w:spacing w:before="0" w:after="0"/>
              <w:jc w:val="right"/>
              <w:rPr>
                <w:rFonts w:cs="Calibri"/>
                <w:b/>
                <w:bCs/>
                <w:color w:val="000000" w:themeColor="text1"/>
                <w:szCs w:val="20"/>
              </w:rPr>
            </w:pPr>
            <w:r>
              <w:rPr>
                <w:rFonts w:cs="Calibri"/>
                <w:b/>
                <w:bCs/>
                <w:color w:val="000000" w:themeColor="text1"/>
                <w:szCs w:val="20"/>
              </w:rPr>
              <w:t>917 148</w:t>
            </w:r>
          </w:p>
        </w:tc>
        <w:tc>
          <w:tcPr>
            <w:tcW w:w="1666" w:type="pct"/>
            <w:vAlign w:val="center"/>
          </w:tcPr>
          <w:p w14:paraId="444F81F2" w14:textId="527E508D" w:rsidR="00207FB6" w:rsidRDefault="00207FB6" w:rsidP="00207FB6">
            <w:pPr>
              <w:spacing w:before="0" w:after="0"/>
              <w:jc w:val="right"/>
              <w:rPr>
                <w:rFonts w:cs="Calibri"/>
                <w:b/>
                <w:bCs/>
                <w:color w:val="000000" w:themeColor="text1"/>
                <w:szCs w:val="20"/>
              </w:rPr>
            </w:pPr>
            <w:r>
              <w:rPr>
                <w:rFonts w:cs="Calibri"/>
                <w:b/>
                <w:bCs/>
                <w:color w:val="000000" w:themeColor="text1"/>
                <w:szCs w:val="20"/>
              </w:rPr>
              <w:t>691 402</w:t>
            </w:r>
          </w:p>
        </w:tc>
      </w:tr>
      <w:tr w:rsidR="00207FB6" w:rsidRPr="00B56B63" w14:paraId="4502B782" w14:textId="77777777" w:rsidTr="00CF5681">
        <w:trPr>
          <w:trHeight w:val="315"/>
        </w:trPr>
        <w:tc>
          <w:tcPr>
            <w:tcW w:w="1666" w:type="pct"/>
            <w:noWrap/>
            <w:hideMark/>
          </w:tcPr>
          <w:p w14:paraId="1480E5A2" w14:textId="77777777" w:rsidR="00207FB6" w:rsidRPr="00B56B63" w:rsidRDefault="00207FB6" w:rsidP="00207FB6">
            <w:pPr>
              <w:spacing w:before="0" w:after="0" w:line="276" w:lineRule="auto"/>
              <w:jc w:val="left"/>
              <w:rPr>
                <w:rFonts w:cs="Calibri"/>
                <w:color w:val="000000" w:themeColor="text1"/>
                <w:szCs w:val="20"/>
              </w:rPr>
            </w:pPr>
            <w:r w:rsidRPr="00B56B63">
              <w:rPr>
                <w:rFonts w:cs="Calibri"/>
                <w:color w:val="000000" w:themeColor="text1"/>
                <w:szCs w:val="20"/>
              </w:rPr>
              <w:t>ESOP</w:t>
            </w:r>
          </w:p>
        </w:tc>
        <w:tc>
          <w:tcPr>
            <w:tcW w:w="1667" w:type="pct"/>
            <w:noWrap/>
            <w:vAlign w:val="center"/>
          </w:tcPr>
          <w:p w14:paraId="6C9D10B1" w14:textId="1F1E6AF6" w:rsidR="00207FB6" w:rsidRPr="00B56B63" w:rsidRDefault="00F922D4" w:rsidP="00207FB6">
            <w:pPr>
              <w:spacing w:before="0" w:after="0" w:line="276" w:lineRule="auto"/>
              <w:jc w:val="right"/>
              <w:rPr>
                <w:rFonts w:cs="Calibri"/>
                <w:color w:val="000000" w:themeColor="text1"/>
                <w:szCs w:val="20"/>
              </w:rPr>
            </w:pPr>
            <w:r>
              <w:rPr>
                <w:rFonts w:cs="Calibri"/>
                <w:color w:val="000000" w:themeColor="text1"/>
                <w:szCs w:val="20"/>
              </w:rPr>
              <w:t>0</w:t>
            </w:r>
          </w:p>
        </w:tc>
        <w:tc>
          <w:tcPr>
            <w:tcW w:w="1666" w:type="pct"/>
            <w:vAlign w:val="center"/>
          </w:tcPr>
          <w:p w14:paraId="57802C3C" w14:textId="52E513E7" w:rsidR="00207FB6" w:rsidRDefault="00207FB6" w:rsidP="00207FB6">
            <w:pPr>
              <w:spacing w:before="0" w:after="0"/>
              <w:jc w:val="right"/>
              <w:rPr>
                <w:rFonts w:eastAsia="Calibri" w:cs="Calibri"/>
                <w:color w:val="000000" w:themeColor="text1"/>
                <w:szCs w:val="20"/>
              </w:rPr>
            </w:pPr>
            <w:r>
              <w:rPr>
                <w:rFonts w:cs="Calibri"/>
                <w:color w:val="000000" w:themeColor="text1"/>
                <w:szCs w:val="20"/>
              </w:rPr>
              <w:t>16 123</w:t>
            </w:r>
          </w:p>
        </w:tc>
      </w:tr>
      <w:tr w:rsidR="00207FB6" w:rsidRPr="00DB2FA6" w14:paraId="56B3EB87" w14:textId="77777777" w:rsidTr="00CF5681">
        <w:trPr>
          <w:trHeight w:val="315"/>
        </w:trPr>
        <w:tc>
          <w:tcPr>
            <w:tcW w:w="1666" w:type="pct"/>
            <w:noWrap/>
            <w:hideMark/>
          </w:tcPr>
          <w:p w14:paraId="1446D8C3" w14:textId="3922AB47" w:rsidR="00207FB6" w:rsidRPr="009F5874" w:rsidRDefault="00207FB6" w:rsidP="00207FB6">
            <w:pPr>
              <w:spacing w:before="0" w:after="0" w:line="276" w:lineRule="auto"/>
              <w:jc w:val="left"/>
              <w:rPr>
                <w:rFonts w:cs="Calibri"/>
                <w:color w:val="000000" w:themeColor="text1"/>
                <w:szCs w:val="20"/>
              </w:rPr>
            </w:pPr>
            <w:r w:rsidRPr="009F5874">
              <w:rPr>
                <w:rFonts w:cs="Calibri"/>
                <w:color w:val="000000" w:themeColor="text1"/>
                <w:szCs w:val="20"/>
              </w:rPr>
              <w:t xml:space="preserve">M&amp;A </w:t>
            </w:r>
          </w:p>
        </w:tc>
        <w:tc>
          <w:tcPr>
            <w:tcW w:w="1667" w:type="pct"/>
            <w:noWrap/>
            <w:vAlign w:val="center"/>
          </w:tcPr>
          <w:p w14:paraId="12966AFE" w14:textId="53A897FF" w:rsidR="00207FB6" w:rsidRPr="009F5874" w:rsidRDefault="00F922D4" w:rsidP="00207FB6">
            <w:pPr>
              <w:spacing w:before="0" w:after="0" w:line="276" w:lineRule="auto"/>
              <w:jc w:val="right"/>
              <w:rPr>
                <w:rFonts w:cs="Calibri"/>
                <w:color w:val="000000" w:themeColor="text1"/>
                <w:szCs w:val="20"/>
              </w:rPr>
            </w:pPr>
            <w:r>
              <w:rPr>
                <w:rFonts w:cs="Calibri"/>
                <w:color w:val="000000" w:themeColor="text1"/>
                <w:szCs w:val="20"/>
              </w:rPr>
              <w:t>2 716</w:t>
            </w:r>
          </w:p>
        </w:tc>
        <w:tc>
          <w:tcPr>
            <w:tcW w:w="1666" w:type="pct"/>
            <w:vAlign w:val="center"/>
          </w:tcPr>
          <w:p w14:paraId="5BAEFCC2" w14:textId="3939673A" w:rsidR="00207FB6" w:rsidRDefault="00207FB6" w:rsidP="00207FB6">
            <w:pPr>
              <w:spacing w:before="0" w:after="0"/>
              <w:jc w:val="right"/>
              <w:rPr>
                <w:rFonts w:eastAsia="Calibri" w:cs="Calibri"/>
                <w:color w:val="000000" w:themeColor="text1"/>
                <w:szCs w:val="20"/>
              </w:rPr>
            </w:pPr>
            <w:r>
              <w:rPr>
                <w:rFonts w:cs="Calibri"/>
                <w:color w:val="000000" w:themeColor="text1"/>
                <w:szCs w:val="20"/>
              </w:rPr>
              <w:t>3 339</w:t>
            </w:r>
          </w:p>
        </w:tc>
      </w:tr>
      <w:tr w:rsidR="00CF5681" w:rsidRPr="00B56B63" w14:paraId="32387FC3" w14:textId="77777777" w:rsidTr="00CF5681">
        <w:trPr>
          <w:trHeight w:val="330"/>
        </w:trPr>
        <w:tc>
          <w:tcPr>
            <w:tcW w:w="1666" w:type="pct"/>
            <w:noWrap/>
          </w:tcPr>
          <w:p w14:paraId="7EC8EA52" w14:textId="77777777" w:rsidR="00CF5681" w:rsidRPr="00B56B63" w:rsidRDefault="00CF5681">
            <w:pPr>
              <w:spacing w:before="0" w:after="0" w:line="276" w:lineRule="auto"/>
              <w:jc w:val="left"/>
              <w:rPr>
                <w:rFonts w:cs="Calibri"/>
                <w:color w:val="000000" w:themeColor="text1"/>
                <w:szCs w:val="20"/>
              </w:rPr>
            </w:pPr>
            <w:r>
              <w:rPr>
                <w:rFonts w:cs="Calibri"/>
                <w:color w:val="000000" w:themeColor="text1"/>
                <w:szCs w:val="20"/>
              </w:rPr>
              <w:t>Přecenění zásob SNC a VSS</w:t>
            </w:r>
          </w:p>
        </w:tc>
        <w:tc>
          <w:tcPr>
            <w:tcW w:w="1666" w:type="pct"/>
            <w:noWrap/>
            <w:vAlign w:val="center"/>
          </w:tcPr>
          <w:p w14:paraId="7CD23B47" w14:textId="77777777" w:rsidR="00CF5681" w:rsidRPr="00B56B63" w:rsidRDefault="00CF5681">
            <w:pPr>
              <w:spacing w:before="0" w:after="0" w:line="276" w:lineRule="auto"/>
              <w:jc w:val="right"/>
              <w:rPr>
                <w:rFonts w:cs="Calibri"/>
                <w:color w:val="000000" w:themeColor="text1"/>
                <w:szCs w:val="20"/>
              </w:rPr>
            </w:pPr>
            <w:r>
              <w:rPr>
                <w:rFonts w:cs="Calibri"/>
                <w:color w:val="000000" w:themeColor="text1"/>
                <w:szCs w:val="20"/>
              </w:rPr>
              <w:t>282 879</w:t>
            </w:r>
          </w:p>
        </w:tc>
        <w:tc>
          <w:tcPr>
            <w:tcW w:w="1666" w:type="pct"/>
            <w:vAlign w:val="center"/>
          </w:tcPr>
          <w:p w14:paraId="28391DC9" w14:textId="77777777" w:rsidR="00CF5681" w:rsidRDefault="00CF5681">
            <w:pPr>
              <w:spacing w:before="0" w:after="0" w:line="276" w:lineRule="auto"/>
              <w:jc w:val="right"/>
              <w:rPr>
                <w:rFonts w:cs="Calibri"/>
                <w:color w:val="000000" w:themeColor="text1"/>
                <w:szCs w:val="20"/>
              </w:rPr>
            </w:pPr>
            <w:r>
              <w:rPr>
                <w:rFonts w:cs="Calibri"/>
                <w:color w:val="000000" w:themeColor="text1"/>
                <w:szCs w:val="20"/>
              </w:rPr>
              <w:t>0</w:t>
            </w:r>
          </w:p>
        </w:tc>
      </w:tr>
      <w:tr w:rsidR="00207FB6" w:rsidRPr="00DB2FA6" w14:paraId="5051220A" w14:textId="77777777" w:rsidTr="00CF5681">
        <w:trPr>
          <w:trHeight w:val="315"/>
        </w:trPr>
        <w:tc>
          <w:tcPr>
            <w:tcW w:w="1666" w:type="pct"/>
            <w:noWrap/>
            <w:hideMark/>
          </w:tcPr>
          <w:p w14:paraId="73CAB6CA" w14:textId="77777777" w:rsidR="00207FB6" w:rsidRPr="009F5874" w:rsidRDefault="00207FB6" w:rsidP="00207FB6">
            <w:pPr>
              <w:spacing w:before="0" w:after="0" w:line="276" w:lineRule="auto"/>
              <w:jc w:val="left"/>
              <w:rPr>
                <w:rFonts w:cs="Calibri"/>
                <w:color w:val="000000" w:themeColor="text1"/>
                <w:szCs w:val="20"/>
              </w:rPr>
            </w:pPr>
            <w:r w:rsidRPr="009F5874">
              <w:rPr>
                <w:rFonts w:cs="Calibri"/>
                <w:color w:val="000000" w:themeColor="text1"/>
                <w:szCs w:val="20"/>
              </w:rPr>
              <w:t xml:space="preserve">Poplatek bankovního financování na akvizici S&amp;B </w:t>
            </w:r>
          </w:p>
        </w:tc>
        <w:tc>
          <w:tcPr>
            <w:tcW w:w="1667" w:type="pct"/>
            <w:noWrap/>
            <w:vAlign w:val="center"/>
          </w:tcPr>
          <w:p w14:paraId="6DE0AC80" w14:textId="4B38185E" w:rsidR="00207FB6" w:rsidRPr="009F5874" w:rsidRDefault="00CF5681" w:rsidP="00207FB6">
            <w:pPr>
              <w:spacing w:before="0" w:after="0"/>
              <w:jc w:val="right"/>
              <w:rPr>
                <w:rFonts w:eastAsia="Calibri" w:cs="Calibri"/>
                <w:color w:val="000000" w:themeColor="text1"/>
                <w:szCs w:val="20"/>
              </w:rPr>
            </w:pPr>
            <w:r>
              <w:rPr>
                <w:rFonts w:eastAsia="Calibri" w:cs="Calibri"/>
                <w:color w:val="000000" w:themeColor="text1"/>
                <w:szCs w:val="20"/>
              </w:rPr>
              <w:t>5 638</w:t>
            </w:r>
          </w:p>
        </w:tc>
        <w:tc>
          <w:tcPr>
            <w:tcW w:w="1666" w:type="pct"/>
            <w:vAlign w:val="center"/>
          </w:tcPr>
          <w:p w14:paraId="678E5643" w14:textId="6A39DB88" w:rsidR="00207FB6" w:rsidRPr="00C7757A" w:rsidRDefault="00207FB6" w:rsidP="00207FB6">
            <w:pPr>
              <w:spacing w:before="0" w:after="0" w:line="276" w:lineRule="auto"/>
              <w:jc w:val="right"/>
              <w:rPr>
                <w:rFonts w:cs="Calibri"/>
                <w:color w:val="000000" w:themeColor="text1"/>
                <w:szCs w:val="20"/>
              </w:rPr>
            </w:pPr>
            <w:r>
              <w:rPr>
                <w:rFonts w:eastAsia="Calibri" w:cs="Calibri"/>
                <w:color w:val="000000" w:themeColor="text1"/>
                <w:szCs w:val="20"/>
              </w:rPr>
              <w:t>6 482</w:t>
            </w:r>
          </w:p>
        </w:tc>
      </w:tr>
      <w:tr w:rsidR="00207FB6" w:rsidRPr="00DB2FA6" w14:paraId="15FC66FE" w14:textId="77777777" w:rsidTr="00CF5681">
        <w:trPr>
          <w:trHeight w:val="315"/>
        </w:trPr>
        <w:tc>
          <w:tcPr>
            <w:tcW w:w="1666" w:type="pct"/>
            <w:noWrap/>
            <w:hideMark/>
          </w:tcPr>
          <w:p w14:paraId="5393B438" w14:textId="77777777" w:rsidR="00207FB6" w:rsidRPr="009F5874" w:rsidRDefault="00207FB6" w:rsidP="00207FB6">
            <w:pPr>
              <w:spacing w:before="0" w:after="0" w:line="276" w:lineRule="auto"/>
              <w:jc w:val="left"/>
              <w:rPr>
                <w:rFonts w:cs="Calibri"/>
                <w:color w:val="000000" w:themeColor="text1"/>
                <w:szCs w:val="20"/>
              </w:rPr>
            </w:pPr>
            <w:r w:rsidRPr="009F5874">
              <w:rPr>
                <w:rFonts w:cs="Calibri"/>
                <w:color w:val="000000" w:themeColor="text1"/>
                <w:szCs w:val="20"/>
              </w:rPr>
              <w:t>Náklady na emisi dluhopisů</w:t>
            </w:r>
          </w:p>
        </w:tc>
        <w:tc>
          <w:tcPr>
            <w:tcW w:w="1667" w:type="pct"/>
            <w:noWrap/>
            <w:vAlign w:val="center"/>
          </w:tcPr>
          <w:p w14:paraId="46F123DC" w14:textId="06B42FB9" w:rsidR="00207FB6" w:rsidRPr="009F5874" w:rsidRDefault="00CF5681" w:rsidP="00207FB6">
            <w:pPr>
              <w:spacing w:before="0" w:after="0"/>
              <w:jc w:val="right"/>
              <w:rPr>
                <w:rFonts w:eastAsia="Calibri" w:cs="Calibri"/>
                <w:color w:val="000000" w:themeColor="text1"/>
                <w:szCs w:val="20"/>
              </w:rPr>
            </w:pPr>
            <w:r>
              <w:rPr>
                <w:rFonts w:eastAsia="Calibri" w:cs="Calibri"/>
                <w:color w:val="000000" w:themeColor="text1"/>
                <w:szCs w:val="20"/>
              </w:rPr>
              <w:t>5 921</w:t>
            </w:r>
          </w:p>
        </w:tc>
        <w:tc>
          <w:tcPr>
            <w:tcW w:w="1666" w:type="pct"/>
            <w:vAlign w:val="center"/>
          </w:tcPr>
          <w:p w14:paraId="6905B327" w14:textId="48A7EAD7" w:rsidR="00207FB6" w:rsidRDefault="00207FB6" w:rsidP="00207FB6">
            <w:pPr>
              <w:spacing w:before="0" w:after="0"/>
              <w:jc w:val="right"/>
              <w:rPr>
                <w:rFonts w:eastAsia="Calibri" w:cs="Calibri"/>
                <w:color w:val="000000" w:themeColor="text1"/>
                <w:szCs w:val="20"/>
              </w:rPr>
            </w:pPr>
            <w:r>
              <w:rPr>
                <w:rFonts w:eastAsia="Calibri" w:cs="Calibri"/>
                <w:color w:val="000000" w:themeColor="text1"/>
                <w:szCs w:val="20"/>
              </w:rPr>
              <w:t>3 877</w:t>
            </w:r>
          </w:p>
        </w:tc>
      </w:tr>
      <w:tr w:rsidR="00207FB6" w:rsidRPr="00DB2FA6" w14:paraId="558CFE90" w14:textId="77777777" w:rsidTr="00CF5681">
        <w:trPr>
          <w:trHeight w:val="315"/>
        </w:trPr>
        <w:tc>
          <w:tcPr>
            <w:tcW w:w="1666" w:type="pct"/>
            <w:noWrap/>
            <w:hideMark/>
          </w:tcPr>
          <w:p w14:paraId="0F07ED2D" w14:textId="77777777" w:rsidR="00207FB6" w:rsidRPr="009F5874" w:rsidRDefault="00207FB6" w:rsidP="00207FB6">
            <w:pPr>
              <w:spacing w:before="0" w:after="0" w:line="276" w:lineRule="auto"/>
              <w:jc w:val="left"/>
              <w:rPr>
                <w:rFonts w:cs="Calibri"/>
                <w:b/>
                <w:bCs/>
                <w:i/>
                <w:iCs/>
                <w:color w:val="000000" w:themeColor="text1"/>
                <w:szCs w:val="20"/>
              </w:rPr>
            </w:pPr>
            <w:r w:rsidRPr="009F5874">
              <w:rPr>
                <w:rFonts w:cs="Calibri"/>
                <w:b/>
                <w:bCs/>
                <w:i/>
                <w:iCs/>
                <w:color w:val="000000" w:themeColor="text1"/>
                <w:szCs w:val="20"/>
              </w:rPr>
              <w:t>Mezisoučet</w:t>
            </w:r>
          </w:p>
        </w:tc>
        <w:tc>
          <w:tcPr>
            <w:tcW w:w="1667" w:type="pct"/>
            <w:noWrap/>
            <w:vAlign w:val="center"/>
          </w:tcPr>
          <w:p w14:paraId="3E229517" w14:textId="45B47528" w:rsidR="00207FB6" w:rsidRPr="009F5874" w:rsidRDefault="00CF5681" w:rsidP="00207FB6">
            <w:pPr>
              <w:spacing w:before="0" w:after="0" w:line="276" w:lineRule="auto"/>
              <w:jc w:val="right"/>
              <w:rPr>
                <w:rFonts w:cs="Calibri"/>
                <w:b/>
                <w:i/>
                <w:color w:val="000000" w:themeColor="text1"/>
                <w:szCs w:val="20"/>
              </w:rPr>
            </w:pPr>
            <w:r>
              <w:rPr>
                <w:rFonts w:cs="Calibri"/>
                <w:b/>
                <w:i/>
                <w:color w:val="000000" w:themeColor="text1"/>
                <w:szCs w:val="20"/>
              </w:rPr>
              <w:t xml:space="preserve">297 </w:t>
            </w:r>
            <w:r w:rsidR="00C80897">
              <w:rPr>
                <w:rFonts w:cs="Calibri"/>
                <w:b/>
                <w:i/>
                <w:color w:val="000000" w:themeColor="text1"/>
                <w:szCs w:val="20"/>
              </w:rPr>
              <w:t>154</w:t>
            </w:r>
          </w:p>
        </w:tc>
        <w:tc>
          <w:tcPr>
            <w:tcW w:w="1666" w:type="pct"/>
            <w:vAlign w:val="center"/>
          </w:tcPr>
          <w:p w14:paraId="72FAA452" w14:textId="6CE90C4D" w:rsidR="00207FB6" w:rsidRDefault="00207FB6" w:rsidP="00207FB6">
            <w:pPr>
              <w:spacing w:before="0" w:after="0" w:line="276" w:lineRule="auto"/>
              <w:jc w:val="right"/>
              <w:rPr>
                <w:rFonts w:cs="Calibri"/>
                <w:b/>
                <w:bCs/>
                <w:i/>
                <w:iCs/>
                <w:color w:val="000000" w:themeColor="text1"/>
                <w:szCs w:val="20"/>
              </w:rPr>
            </w:pPr>
            <w:r>
              <w:rPr>
                <w:rFonts w:cs="Calibri"/>
                <w:b/>
                <w:bCs/>
                <w:i/>
                <w:iCs/>
                <w:color w:val="000000" w:themeColor="text1"/>
                <w:szCs w:val="20"/>
              </w:rPr>
              <w:t>29 821</w:t>
            </w:r>
          </w:p>
        </w:tc>
      </w:tr>
      <w:tr w:rsidR="00207FB6" w:rsidRPr="00DB2FA6" w14:paraId="6FB7DC02" w14:textId="77777777" w:rsidTr="00CF5681">
        <w:trPr>
          <w:trHeight w:val="315"/>
        </w:trPr>
        <w:tc>
          <w:tcPr>
            <w:tcW w:w="1666" w:type="pct"/>
            <w:noWrap/>
            <w:hideMark/>
          </w:tcPr>
          <w:p w14:paraId="1D0EB581" w14:textId="36FF6369" w:rsidR="00207FB6" w:rsidRPr="009F5874" w:rsidRDefault="00001BDA" w:rsidP="00207FB6">
            <w:pPr>
              <w:spacing w:before="0" w:after="0" w:line="276" w:lineRule="auto"/>
              <w:jc w:val="left"/>
              <w:rPr>
                <w:rFonts w:cs="Calibri"/>
                <w:color w:val="000000" w:themeColor="text1"/>
                <w:szCs w:val="20"/>
              </w:rPr>
            </w:pPr>
            <w:r w:rsidRPr="00001BDA">
              <w:rPr>
                <w:rFonts w:cs="Calibri"/>
                <w:color w:val="000000" w:themeColor="text1"/>
                <w:szCs w:val="20"/>
              </w:rPr>
              <w:t>Da</w:t>
            </w:r>
            <w:r w:rsidRPr="00001BDA">
              <w:rPr>
                <w:rFonts w:cs="Calibri" w:hint="eastAsia"/>
                <w:color w:val="000000" w:themeColor="text1"/>
                <w:szCs w:val="20"/>
              </w:rPr>
              <w:t>ň</w:t>
            </w:r>
            <w:r w:rsidRPr="00001BDA">
              <w:rPr>
                <w:rFonts w:cs="Calibri"/>
                <w:color w:val="000000" w:themeColor="text1"/>
                <w:szCs w:val="20"/>
              </w:rPr>
              <w:t>ov</w:t>
            </w:r>
            <w:r w:rsidRPr="00001BDA">
              <w:rPr>
                <w:rFonts w:cs="Calibri" w:hint="eastAsia"/>
                <w:color w:val="000000" w:themeColor="text1"/>
                <w:szCs w:val="20"/>
              </w:rPr>
              <w:t>ý</w:t>
            </w:r>
            <w:r w:rsidRPr="00001BDA">
              <w:rPr>
                <w:rFonts w:cs="Calibri"/>
                <w:color w:val="000000" w:themeColor="text1"/>
                <w:szCs w:val="20"/>
              </w:rPr>
              <w:t xml:space="preserve"> efekt (aplikace efektivn</w:t>
            </w:r>
            <w:r w:rsidRPr="00001BDA">
              <w:rPr>
                <w:rFonts w:cs="Calibri" w:hint="eastAsia"/>
                <w:color w:val="000000" w:themeColor="text1"/>
                <w:szCs w:val="20"/>
              </w:rPr>
              <w:t>í</w:t>
            </w:r>
            <w:r w:rsidRPr="00001BDA">
              <w:rPr>
                <w:rFonts w:cs="Calibri"/>
                <w:color w:val="000000" w:themeColor="text1"/>
                <w:szCs w:val="20"/>
              </w:rPr>
              <w:t xml:space="preserve"> da</w:t>
            </w:r>
            <w:r w:rsidRPr="00001BDA">
              <w:rPr>
                <w:rFonts w:cs="Calibri" w:hint="eastAsia"/>
                <w:color w:val="000000" w:themeColor="text1"/>
                <w:szCs w:val="20"/>
              </w:rPr>
              <w:t>ň</w:t>
            </w:r>
            <w:r w:rsidRPr="00001BDA">
              <w:rPr>
                <w:rFonts w:cs="Calibri"/>
                <w:color w:val="000000" w:themeColor="text1"/>
                <w:szCs w:val="20"/>
              </w:rPr>
              <w:t>ov</w:t>
            </w:r>
            <w:r w:rsidRPr="00001BDA">
              <w:rPr>
                <w:rFonts w:cs="Calibri" w:hint="eastAsia"/>
                <w:color w:val="000000" w:themeColor="text1"/>
                <w:szCs w:val="20"/>
              </w:rPr>
              <w:t>é</w:t>
            </w:r>
            <w:r w:rsidRPr="00001BDA">
              <w:rPr>
                <w:rFonts w:cs="Calibri"/>
                <w:color w:val="000000" w:themeColor="text1"/>
                <w:szCs w:val="20"/>
              </w:rPr>
              <w:t xml:space="preserve"> sazby)</w:t>
            </w:r>
          </w:p>
        </w:tc>
        <w:tc>
          <w:tcPr>
            <w:tcW w:w="1667" w:type="pct"/>
            <w:noWrap/>
            <w:vAlign w:val="center"/>
          </w:tcPr>
          <w:p w14:paraId="431BEA55" w14:textId="1DA2E3D7" w:rsidR="00207FB6" w:rsidRPr="009F5874" w:rsidRDefault="00CF5681" w:rsidP="00207FB6">
            <w:pPr>
              <w:spacing w:before="0" w:after="0"/>
              <w:jc w:val="right"/>
              <w:rPr>
                <w:rFonts w:eastAsia="Calibri" w:cs="Calibri"/>
                <w:color w:val="000000" w:themeColor="text1"/>
                <w:szCs w:val="20"/>
              </w:rPr>
            </w:pPr>
            <w:r>
              <w:rPr>
                <w:rFonts w:eastAsia="Calibri" w:cs="Calibri"/>
                <w:color w:val="000000" w:themeColor="text1"/>
                <w:szCs w:val="20"/>
              </w:rPr>
              <w:t>-263 747</w:t>
            </w:r>
          </w:p>
        </w:tc>
        <w:tc>
          <w:tcPr>
            <w:tcW w:w="1666" w:type="pct"/>
            <w:vAlign w:val="center"/>
          </w:tcPr>
          <w:p w14:paraId="61707285" w14:textId="4389C9C7" w:rsidR="00207FB6" w:rsidRDefault="00207FB6" w:rsidP="00207FB6">
            <w:pPr>
              <w:spacing w:before="0" w:after="0"/>
              <w:jc w:val="right"/>
              <w:rPr>
                <w:rFonts w:eastAsia="Calibri" w:cs="Calibri"/>
                <w:color w:val="000000" w:themeColor="text1"/>
                <w:szCs w:val="20"/>
              </w:rPr>
            </w:pPr>
            <w:r>
              <w:rPr>
                <w:rFonts w:eastAsia="Calibri" w:cs="Calibri"/>
                <w:color w:val="000000" w:themeColor="text1"/>
                <w:szCs w:val="20"/>
              </w:rPr>
              <w:t>-174 717</w:t>
            </w:r>
          </w:p>
        </w:tc>
      </w:tr>
      <w:tr w:rsidR="00207FB6" w:rsidRPr="00DB2FA6" w14:paraId="54391063" w14:textId="77777777" w:rsidTr="00CF5681">
        <w:trPr>
          <w:trHeight w:val="315"/>
        </w:trPr>
        <w:tc>
          <w:tcPr>
            <w:tcW w:w="1666" w:type="pct"/>
            <w:noWrap/>
            <w:hideMark/>
          </w:tcPr>
          <w:p w14:paraId="7B803853" w14:textId="77777777" w:rsidR="00207FB6" w:rsidRPr="009F5874" w:rsidRDefault="00207FB6" w:rsidP="00207FB6">
            <w:pPr>
              <w:spacing w:before="0" w:after="0" w:line="276" w:lineRule="auto"/>
              <w:jc w:val="left"/>
              <w:rPr>
                <w:rFonts w:cs="Calibri"/>
                <w:b/>
                <w:bCs/>
                <w:color w:val="000000" w:themeColor="text1"/>
                <w:szCs w:val="20"/>
              </w:rPr>
            </w:pPr>
            <w:r w:rsidRPr="009F5874">
              <w:rPr>
                <w:rFonts w:cs="Calibri"/>
                <w:b/>
                <w:bCs/>
                <w:color w:val="000000" w:themeColor="text1"/>
                <w:szCs w:val="20"/>
              </w:rPr>
              <w:t>Upravený výsledek hospodaření (upravený čistý zisk)</w:t>
            </w:r>
          </w:p>
        </w:tc>
        <w:tc>
          <w:tcPr>
            <w:tcW w:w="1667" w:type="pct"/>
            <w:noWrap/>
            <w:vAlign w:val="center"/>
          </w:tcPr>
          <w:p w14:paraId="7EE3CA2C" w14:textId="43ECDC03" w:rsidR="00207FB6" w:rsidRPr="009F5874" w:rsidRDefault="00CF5681" w:rsidP="00207FB6">
            <w:pPr>
              <w:spacing w:before="0" w:after="0" w:line="276" w:lineRule="auto"/>
              <w:jc w:val="right"/>
              <w:rPr>
                <w:rFonts w:cs="Calibri"/>
                <w:b/>
                <w:bCs/>
                <w:i/>
                <w:iCs/>
                <w:color w:val="000000" w:themeColor="text1"/>
                <w:szCs w:val="20"/>
              </w:rPr>
            </w:pPr>
            <w:r>
              <w:rPr>
                <w:rFonts w:cs="Calibri"/>
                <w:b/>
                <w:bCs/>
                <w:i/>
                <w:iCs/>
                <w:color w:val="000000" w:themeColor="text1"/>
                <w:szCs w:val="20"/>
              </w:rPr>
              <w:t>950 555</w:t>
            </w:r>
          </w:p>
        </w:tc>
        <w:tc>
          <w:tcPr>
            <w:tcW w:w="1666" w:type="pct"/>
            <w:vAlign w:val="center"/>
          </w:tcPr>
          <w:p w14:paraId="696C3FB0" w14:textId="180EAF09" w:rsidR="00207FB6" w:rsidRDefault="00207FB6" w:rsidP="00207FB6">
            <w:pPr>
              <w:spacing w:before="0" w:after="0" w:line="276" w:lineRule="auto"/>
              <w:jc w:val="right"/>
              <w:rPr>
                <w:rFonts w:cs="Calibri"/>
                <w:b/>
                <w:bCs/>
                <w:i/>
                <w:iCs/>
                <w:color w:val="000000" w:themeColor="text1"/>
                <w:szCs w:val="20"/>
              </w:rPr>
            </w:pPr>
            <w:r>
              <w:rPr>
                <w:rFonts w:cs="Calibri"/>
                <w:b/>
                <w:bCs/>
                <w:i/>
                <w:iCs/>
                <w:color w:val="000000" w:themeColor="text1"/>
                <w:szCs w:val="20"/>
              </w:rPr>
              <w:t>546 506</w:t>
            </w:r>
          </w:p>
        </w:tc>
      </w:tr>
    </w:tbl>
    <w:p w14:paraId="6E8C2241" w14:textId="540E8C7D" w:rsidR="006547EF" w:rsidRPr="00D469AD" w:rsidRDefault="006547EF" w:rsidP="00517520">
      <w:pPr>
        <w:spacing w:before="0" w:after="0" w:line="276" w:lineRule="auto"/>
        <w:jc w:val="left"/>
        <w:rPr>
          <w:rFonts w:cs="Arial"/>
          <w:szCs w:val="20"/>
        </w:rPr>
      </w:pPr>
    </w:p>
    <w:sectPr w:rsidR="006547EF" w:rsidRPr="00D469AD" w:rsidSect="009E506A">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C764A" w14:textId="77777777" w:rsidR="004844BC" w:rsidRDefault="004844BC" w:rsidP="006547EF">
      <w:pPr>
        <w:spacing w:before="0" w:after="0"/>
      </w:pPr>
      <w:r>
        <w:separator/>
      </w:r>
    </w:p>
  </w:endnote>
  <w:endnote w:type="continuationSeparator" w:id="0">
    <w:p w14:paraId="2A47A327" w14:textId="77777777" w:rsidR="004844BC" w:rsidRDefault="004844BC" w:rsidP="006547EF">
      <w:pPr>
        <w:spacing w:before="0" w:after="0"/>
      </w:pPr>
      <w:r>
        <w:continuationSeparator/>
      </w:r>
    </w:p>
  </w:endnote>
  <w:endnote w:type="continuationNotice" w:id="1">
    <w:p w14:paraId="66B7C77A" w14:textId="77777777" w:rsidR="004844BC" w:rsidRDefault="004844B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typ Colt CZ">
    <w:altName w:val="Calibri"/>
    <w:panose1 w:val="00000000000000000000"/>
    <w:charset w:val="00"/>
    <w:family w:val="modern"/>
    <w:notTrueType/>
    <w:pitch w:val="variable"/>
    <w:sig w:usb0="A00002FF" w:usb1="0200E07A"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1" w:fontKey="{09A04744-5529-4765-88DD-ED95D6385584}"/>
    <w:embedBold r:id="rId2" w:fontKey="{098746A8-4FCF-41D3-B229-D19299A8BB88}"/>
    <w:embedItalic r:id="rId3" w:fontKey="{CC3F2573-6686-4F1C-AA95-742E323B3996}"/>
    <w:embedBoldItalic r:id="rId4" w:fontKey="{914A8680-A981-4C97-8B10-5DB362D7A808}"/>
  </w:font>
  <w:font w:name="Montserrat Light">
    <w:panose1 w:val="00000000000000000000"/>
    <w:charset w:val="00"/>
    <w:family w:val="modern"/>
    <w:notTrueType/>
    <w:pitch w:val="variable"/>
    <w:sig w:usb0="2000020F" w:usb1="00000003" w:usb2="00000000" w:usb3="00000000" w:csb0="00000197" w:csb1="00000000"/>
    <w:embedRegular r:id="rId5" w:fontKey="{775C49AF-EC24-46B3-A433-E0A8BAD03923}"/>
  </w:font>
  <w:font w:name="Yu Mincho">
    <w:charset w:val="80"/>
    <w:family w:val="roman"/>
    <w:pitch w:val="variable"/>
    <w:sig w:usb0="800002E7" w:usb1="2AC7FCFF" w:usb2="00000012" w:usb3="00000000" w:csb0="0002009F" w:csb1="00000000"/>
  </w:font>
  <w:font w:name="Verdana">
    <w:panose1 w:val="020B0604030504040204"/>
    <w:charset w:val="EE"/>
    <w:family w:val="swiss"/>
    <w:pitch w:val="variable"/>
    <w:sig w:usb0="A00006FF" w:usb1="4000205B" w:usb2="00000010" w:usb3="00000000" w:csb0="0000019F" w:csb1="00000000"/>
    <w:embedRegular r:id="rId6" w:fontKey="{7BBAEC12-1986-47E9-AA9A-7EAF9F759C79}"/>
  </w:font>
  <w:font w:name="Calibri Light">
    <w:panose1 w:val="020F0302020204030204"/>
    <w:charset w:val="EE"/>
    <w:family w:val="swiss"/>
    <w:pitch w:val="variable"/>
    <w:sig w:usb0="E4002EFF" w:usb1="C200247B" w:usb2="00000009" w:usb3="00000000" w:csb0="000001FF" w:csb1="00000000"/>
    <w:embedRegular r:id="rId7" w:fontKey="{B5D3B3EA-0D5F-4FC6-81E0-3BF08097DF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232277F" w14:textId="77777777" w:rsidR="00C07127" w:rsidRDefault="00C07127">
        <w:pPr>
          <w:pStyle w:val="Zpat"/>
          <w:jc w:val="right"/>
        </w:pPr>
      </w:p>
      <w:p w14:paraId="0922375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BC8" w14:textId="7B197D86"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3461FE" w:rsidRPr="003461FE">
      <w:rPr>
        <w:rFonts w:eastAsiaTheme="minorHAnsi" w:cstheme="minorBidi"/>
        <w:sz w:val="14"/>
        <w:szCs w:val="14"/>
      </w:rPr>
      <w:t>náměstí Republiky 2090/</w:t>
    </w:r>
    <w:proofErr w:type="gramStart"/>
    <w:r w:rsidR="003461FE" w:rsidRPr="003461F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AC076B3"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78AA8" w14:textId="77777777" w:rsidR="004844BC" w:rsidRDefault="004844BC" w:rsidP="006547EF">
      <w:pPr>
        <w:spacing w:before="0" w:after="0"/>
      </w:pPr>
      <w:r>
        <w:separator/>
      </w:r>
    </w:p>
  </w:footnote>
  <w:footnote w:type="continuationSeparator" w:id="0">
    <w:p w14:paraId="0D42D638" w14:textId="77777777" w:rsidR="004844BC" w:rsidRDefault="004844BC" w:rsidP="006547EF">
      <w:pPr>
        <w:spacing w:before="0" w:after="0"/>
      </w:pPr>
      <w:r>
        <w:continuationSeparator/>
      </w:r>
    </w:p>
  </w:footnote>
  <w:footnote w:type="continuationNotice" w:id="1">
    <w:p w14:paraId="7F78424B" w14:textId="77777777" w:rsidR="004844BC" w:rsidRDefault="004844BC">
      <w:pPr>
        <w:spacing w:before="0" w:after="0"/>
      </w:pPr>
    </w:p>
  </w:footnote>
  <w:footnote w:id="2">
    <w:p w14:paraId="190DEDBC" w14:textId="5FD24EC9" w:rsidR="00266D06" w:rsidRDefault="00266D06" w:rsidP="00266D06">
      <w:pPr>
        <w:pStyle w:val="Poznmkapodarou"/>
        <w:jc w:val="left"/>
      </w:pPr>
      <w:r>
        <w:rPr>
          <w:rStyle w:val="Znakapoznpodarou"/>
        </w:rPr>
        <w:footnoteRef/>
      </w:r>
      <w:r>
        <w:t xml:space="preserve"> </w:t>
      </w:r>
      <w:r w:rsidR="005225E8">
        <w:t>Rozdělení</w:t>
      </w:r>
      <w:r w:rsidR="0057086F">
        <w:t xml:space="preserve"> jednorázových položek je uveden</w:t>
      </w:r>
      <w:r w:rsidR="00D35D66">
        <w:t>o</w:t>
      </w:r>
      <w:r w:rsidR="0057086F">
        <w:t xml:space="preserve"> v příloze tohoto dokumentu</w:t>
      </w:r>
      <w:r>
        <w:t>.</w:t>
      </w:r>
    </w:p>
  </w:footnote>
  <w:footnote w:id="3">
    <w:p w14:paraId="7104201A" w14:textId="550217F1" w:rsidR="004813A9" w:rsidRPr="009C093C" w:rsidRDefault="004813A9" w:rsidP="004813A9">
      <w:pPr>
        <w:pStyle w:val="Textpoznpodarou"/>
        <w:rPr>
          <w:rFonts w:ascii="Calibri" w:hAnsi="Calibri" w:cs="Calibri"/>
        </w:rPr>
      </w:pPr>
      <w:r w:rsidRPr="00026BCA">
        <w:rPr>
          <w:rStyle w:val="Znakapoznpodarou"/>
          <w:rFonts w:ascii="Calibri" w:hAnsi="Calibri" w:cs="Calibri"/>
          <w:sz w:val="14"/>
          <w:szCs w:val="14"/>
        </w:rPr>
        <w:footnoteRef/>
      </w:r>
      <w:r w:rsidR="001412A2" w:rsidRPr="00026BCA">
        <w:rPr>
          <w:sz w:val="14"/>
          <w:szCs w:val="14"/>
        </w:rPr>
        <w:t xml:space="preserve"> </w:t>
      </w:r>
      <w:r w:rsidR="003D4760" w:rsidRPr="00026BCA">
        <w:rPr>
          <w:sz w:val="14"/>
          <w:szCs w:val="14"/>
        </w:rPr>
        <w:t>V prvních třech měsících roku 2026 byla EBITDA upravena o mimořádné jednorázové náklady spojené s akvizicemi, jednor</w:t>
      </w:r>
      <w:r w:rsidR="003D4760" w:rsidRPr="00026BCA">
        <w:rPr>
          <w:rFonts w:hint="eastAsia"/>
          <w:sz w:val="14"/>
          <w:szCs w:val="14"/>
        </w:rPr>
        <w:t>á</w:t>
      </w:r>
      <w:r w:rsidR="003D4760" w:rsidRPr="00026BCA">
        <w:rPr>
          <w:sz w:val="14"/>
          <w:szCs w:val="14"/>
        </w:rPr>
        <w:t>zov</w:t>
      </w:r>
      <w:r w:rsidR="00026BCA" w:rsidRPr="00026BCA">
        <w:rPr>
          <w:sz w:val="14"/>
          <w:szCs w:val="14"/>
        </w:rPr>
        <w:t xml:space="preserve">é </w:t>
      </w:r>
      <w:r w:rsidR="003D4760" w:rsidRPr="00026BCA">
        <w:rPr>
          <w:sz w:val="14"/>
          <w:szCs w:val="14"/>
        </w:rPr>
        <w:t>v</w:t>
      </w:r>
      <w:r w:rsidR="003D4760" w:rsidRPr="00026BCA">
        <w:rPr>
          <w:rFonts w:hint="eastAsia"/>
          <w:sz w:val="14"/>
          <w:szCs w:val="14"/>
        </w:rPr>
        <w:t>ý</w:t>
      </w:r>
      <w:r w:rsidR="003D4760" w:rsidRPr="00026BCA">
        <w:rPr>
          <w:sz w:val="14"/>
          <w:szCs w:val="14"/>
        </w:rPr>
        <w:t>daj</w:t>
      </w:r>
      <w:r w:rsidR="00026BCA" w:rsidRPr="00026BCA">
        <w:rPr>
          <w:sz w:val="14"/>
          <w:szCs w:val="14"/>
        </w:rPr>
        <w:t>e</w:t>
      </w:r>
      <w:r w:rsidR="003D4760" w:rsidRPr="00026BCA">
        <w:rPr>
          <w:sz w:val="14"/>
          <w:szCs w:val="14"/>
        </w:rPr>
        <w:t xml:space="preserve"> souvisej</w:t>
      </w:r>
      <w:r w:rsidR="003D4760" w:rsidRPr="00026BCA">
        <w:rPr>
          <w:rFonts w:hint="eastAsia"/>
          <w:sz w:val="14"/>
          <w:szCs w:val="14"/>
        </w:rPr>
        <w:t>í</w:t>
      </w:r>
      <w:r w:rsidR="003D4760" w:rsidRPr="00026BCA">
        <w:rPr>
          <w:sz w:val="14"/>
          <w:szCs w:val="14"/>
        </w:rPr>
        <w:t>c</w:t>
      </w:r>
      <w:r w:rsidR="003D4760" w:rsidRPr="00026BCA">
        <w:rPr>
          <w:rFonts w:hint="eastAsia"/>
          <w:sz w:val="14"/>
          <w:szCs w:val="14"/>
        </w:rPr>
        <w:t>í</w:t>
      </w:r>
      <w:r w:rsidR="003D4760" w:rsidRPr="00026BCA">
        <w:rPr>
          <w:sz w:val="14"/>
          <w:szCs w:val="14"/>
        </w:rPr>
        <w:t xml:space="preserve"> s hedgingem komodit společnosti Sellier &amp; Bellot a přeceněním zásob společností VSS a Synthesia Nitrocellulose, které obecně nesouvisejí s běžným hospodařením a tvorbou hodnoty v daném období. </w:t>
      </w:r>
      <w:r w:rsidR="0025214A" w:rsidRPr="00026BCA">
        <w:rPr>
          <w:sz w:val="14"/>
          <w:szCs w:val="14"/>
        </w:rPr>
        <w:t>V</w:t>
      </w:r>
      <w:r w:rsidR="00596209" w:rsidRPr="00026BCA">
        <w:rPr>
          <w:sz w:val="14"/>
          <w:szCs w:val="14"/>
        </w:rPr>
        <w:t> prvních třech měsících roku 2025</w:t>
      </w:r>
      <w:r w:rsidR="0025214A" w:rsidRPr="00026BCA">
        <w:rPr>
          <w:sz w:val="14"/>
          <w:szCs w:val="14"/>
        </w:rPr>
        <w:t xml:space="preserve"> byla EBITDA upravena o mimořádné jednorázové náklady spojené s akvizicemi, úhradami vázanými na akcie v souvislosti se zaměstnaneckým opčním plánem</w:t>
      </w:r>
      <w:r w:rsidR="00596209" w:rsidRPr="00026BCA">
        <w:rPr>
          <w:sz w:val="14"/>
          <w:szCs w:val="14"/>
        </w:rPr>
        <w:t xml:space="preserve"> a </w:t>
      </w:r>
      <w:r w:rsidR="0025214A" w:rsidRPr="00026BCA">
        <w:rPr>
          <w:sz w:val="14"/>
          <w:szCs w:val="14"/>
        </w:rPr>
        <w:t>jednor</w:t>
      </w:r>
      <w:r w:rsidR="0025214A" w:rsidRPr="00026BCA">
        <w:rPr>
          <w:rFonts w:hint="eastAsia"/>
          <w:sz w:val="14"/>
          <w:szCs w:val="14"/>
        </w:rPr>
        <w:t>á</w:t>
      </w:r>
      <w:r w:rsidR="0025214A" w:rsidRPr="00026BCA">
        <w:rPr>
          <w:sz w:val="14"/>
          <w:szCs w:val="14"/>
        </w:rPr>
        <w:t>zov</w:t>
      </w:r>
      <w:r w:rsidR="0025214A" w:rsidRPr="00026BCA">
        <w:rPr>
          <w:rFonts w:hint="eastAsia"/>
          <w:sz w:val="14"/>
          <w:szCs w:val="14"/>
        </w:rPr>
        <w:t>é</w:t>
      </w:r>
      <w:r w:rsidR="0025214A" w:rsidRPr="00026BCA">
        <w:rPr>
          <w:sz w:val="14"/>
          <w:szCs w:val="14"/>
        </w:rPr>
        <w:t xml:space="preserve"> v</w:t>
      </w:r>
      <w:r w:rsidR="0025214A" w:rsidRPr="00026BCA">
        <w:rPr>
          <w:rFonts w:hint="eastAsia"/>
          <w:sz w:val="14"/>
          <w:szCs w:val="14"/>
        </w:rPr>
        <w:t>ý</w:t>
      </w:r>
      <w:r w:rsidR="0025214A" w:rsidRPr="00026BCA">
        <w:rPr>
          <w:sz w:val="14"/>
          <w:szCs w:val="14"/>
        </w:rPr>
        <w:t>daje souvisej</w:t>
      </w:r>
      <w:r w:rsidR="0025214A" w:rsidRPr="00026BCA">
        <w:rPr>
          <w:rFonts w:hint="eastAsia"/>
          <w:sz w:val="14"/>
          <w:szCs w:val="14"/>
        </w:rPr>
        <w:t>í</w:t>
      </w:r>
      <w:r w:rsidR="0025214A" w:rsidRPr="00026BCA">
        <w:rPr>
          <w:sz w:val="14"/>
          <w:szCs w:val="14"/>
        </w:rPr>
        <w:t>c</w:t>
      </w:r>
      <w:r w:rsidR="0025214A" w:rsidRPr="00026BCA">
        <w:rPr>
          <w:rFonts w:hint="eastAsia"/>
          <w:sz w:val="14"/>
          <w:szCs w:val="14"/>
        </w:rPr>
        <w:t>í</w:t>
      </w:r>
      <w:r w:rsidR="0025214A" w:rsidRPr="00026BCA">
        <w:rPr>
          <w:sz w:val="14"/>
          <w:szCs w:val="14"/>
        </w:rPr>
        <w:t xml:space="preserve"> s </w:t>
      </w:r>
      <w:r w:rsidR="00596209" w:rsidRPr="00026BCA">
        <w:rPr>
          <w:sz w:val="14"/>
          <w:szCs w:val="14"/>
        </w:rPr>
        <w:t>hedgingem komodit společnosti</w:t>
      </w:r>
      <w:r w:rsidR="0025214A" w:rsidRPr="00026BCA">
        <w:rPr>
          <w:sz w:val="14"/>
          <w:szCs w:val="14"/>
        </w:rPr>
        <w:t xml:space="preserve"> Sellier &amp; Bellot, které obecně nesouvisejí s běžným hospodařením a tvorbou hodnoty v daném období.</w:t>
      </w:r>
      <w:r w:rsidR="0025214A" w:rsidRPr="001C60E2">
        <w:rPr>
          <w:sz w:val="14"/>
          <w:szCs w:val="14"/>
        </w:rPr>
        <w:t xml:space="preserve"> </w:t>
      </w:r>
    </w:p>
  </w:footnote>
  <w:footnote w:id="4">
    <w:p w14:paraId="5000E1D9" w14:textId="67C9C0E7" w:rsidR="00A95F7D" w:rsidRDefault="00A95F7D" w:rsidP="00C3747D">
      <w:pPr>
        <w:pStyle w:val="Textpoznpodarou"/>
        <w:keepLines/>
      </w:pPr>
      <w:r w:rsidRPr="00BA3BA5">
        <w:rPr>
          <w:rStyle w:val="Znakapoznpodarou"/>
        </w:rPr>
        <w:footnoteRef/>
      </w:r>
      <w:r w:rsidRPr="00BA3BA5">
        <w:t xml:space="preserve"> </w:t>
      </w:r>
      <w:r w:rsidR="0084765D" w:rsidRPr="00BA3BA5">
        <w:rPr>
          <w:sz w:val="14"/>
          <w:szCs w:val="14"/>
        </w:rPr>
        <w:t>V prvních třech měsících roku 2026 byl čistý zisk upraven o mimořádné jednorázové náklady spojené s akvizicemi, n</w:t>
      </w:r>
      <w:r w:rsidR="0084765D" w:rsidRPr="00BA3BA5">
        <w:rPr>
          <w:rFonts w:hint="eastAsia"/>
          <w:sz w:val="14"/>
          <w:szCs w:val="14"/>
        </w:rPr>
        <w:t>á</w:t>
      </w:r>
      <w:r w:rsidR="0084765D" w:rsidRPr="00BA3BA5">
        <w:rPr>
          <w:sz w:val="14"/>
          <w:szCs w:val="14"/>
        </w:rPr>
        <w:t>klady na emisi dluhopis</w:t>
      </w:r>
      <w:r w:rsidR="0084765D" w:rsidRPr="00BA3BA5">
        <w:rPr>
          <w:rFonts w:hint="eastAsia"/>
          <w:sz w:val="14"/>
          <w:szCs w:val="14"/>
        </w:rPr>
        <w:t>ů</w:t>
      </w:r>
      <w:r w:rsidR="0084765D" w:rsidRPr="00BA3BA5">
        <w:rPr>
          <w:sz w:val="14"/>
          <w:szCs w:val="14"/>
        </w:rPr>
        <w:t xml:space="preserve"> a bankovn</w:t>
      </w:r>
      <w:r w:rsidR="0084765D" w:rsidRPr="00BA3BA5">
        <w:rPr>
          <w:rFonts w:hint="eastAsia"/>
          <w:sz w:val="14"/>
          <w:szCs w:val="14"/>
        </w:rPr>
        <w:t>í</w:t>
      </w:r>
      <w:r w:rsidR="0084765D" w:rsidRPr="00BA3BA5">
        <w:rPr>
          <w:sz w:val="14"/>
          <w:szCs w:val="14"/>
        </w:rPr>
        <w:t xml:space="preserve"> poplatky souvisej</w:t>
      </w:r>
      <w:r w:rsidR="0084765D" w:rsidRPr="00BA3BA5">
        <w:rPr>
          <w:rFonts w:hint="eastAsia"/>
          <w:sz w:val="14"/>
          <w:szCs w:val="14"/>
        </w:rPr>
        <w:t>í</w:t>
      </w:r>
      <w:r w:rsidR="0084765D" w:rsidRPr="00BA3BA5">
        <w:rPr>
          <w:sz w:val="14"/>
          <w:szCs w:val="14"/>
        </w:rPr>
        <w:t>c</w:t>
      </w:r>
      <w:r w:rsidR="0084765D" w:rsidRPr="00BA3BA5">
        <w:rPr>
          <w:rFonts w:hint="eastAsia"/>
          <w:sz w:val="14"/>
          <w:szCs w:val="14"/>
        </w:rPr>
        <w:t>í</w:t>
      </w:r>
      <w:r w:rsidR="0084765D" w:rsidRPr="00BA3BA5">
        <w:rPr>
          <w:sz w:val="14"/>
          <w:szCs w:val="14"/>
        </w:rPr>
        <w:t xml:space="preserve"> s akvizi</w:t>
      </w:r>
      <w:r w:rsidR="0084765D" w:rsidRPr="00BA3BA5">
        <w:rPr>
          <w:rFonts w:hint="eastAsia"/>
          <w:sz w:val="14"/>
          <w:szCs w:val="14"/>
        </w:rPr>
        <w:t>č</w:t>
      </w:r>
      <w:r w:rsidR="0084765D" w:rsidRPr="00BA3BA5">
        <w:rPr>
          <w:sz w:val="14"/>
          <w:szCs w:val="14"/>
        </w:rPr>
        <w:t>n</w:t>
      </w:r>
      <w:r w:rsidR="0084765D" w:rsidRPr="00BA3BA5">
        <w:rPr>
          <w:rFonts w:hint="eastAsia"/>
          <w:sz w:val="14"/>
          <w:szCs w:val="14"/>
        </w:rPr>
        <w:t>í</w:t>
      </w:r>
      <w:r w:rsidR="0084765D" w:rsidRPr="00BA3BA5">
        <w:rPr>
          <w:sz w:val="14"/>
          <w:szCs w:val="14"/>
        </w:rPr>
        <w:t xml:space="preserve">m </w:t>
      </w:r>
      <w:r w:rsidR="0084765D" w:rsidRPr="00BA3BA5">
        <w:rPr>
          <w:rFonts w:hint="eastAsia"/>
          <w:sz w:val="14"/>
          <w:szCs w:val="14"/>
        </w:rPr>
        <w:t>ú</w:t>
      </w:r>
      <w:r w:rsidR="0084765D" w:rsidRPr="00BA3BA5">
        <w:rPr>
          <w:sz w:val="14"/>
          <w:szCs w:val="14"/>
        </w:rPr>
        <w:t>v</w:t>
      </w:r>
      <w:r w:rsidR="0084765D" w:rsidRPr="00BA3BA5">
        <w:rPr>
          <w:rFonts w:hint="eastAsia"/>
          <w:sz w:val="14"/>
          <w:szCs w:val="14"/>
        </w:rPr>
        <w:t>ě</w:t>
      </w:r>
      <w:r w:rsidR="0084765D" w:rsidRPr="00BA3BA5">
        <w:rPr>
          <w:sz w:val="14"/>
          <w:szCs w:val="14"/>
        </w:rPr>
        <w:t>rem a přeceněním zásob společností VSS a Synthesia Nitrocellulose, které obecně nesouvisejí s běžným hospodařením a tvorbou hodnoty v daném období.</w:t>
      </w:r>
      <w:r w:rsidR="0084765D" w:rsidRPr="00BA3BA5">
        <w:t xml:space="preserve"> </w:t>
      </w:r>
      <w:r w:rsidR="00596209" w:rsidRPr="00BA3BA5">
        <w:rPr>
          <w:sz w:val="14"/>
          <w:szCs w:val="14"/>
        </w:rPr>
        <w:t>V prvních</w:t>
      </w:r>
      <w:r w:rsidR="00596209">
        <w:rPr>
          <w:sz w:val="14"/>
          <w:szCs w:val="14"/>
        </w:rPr>
        <w:t xml:space="preserve"> třech měsících roku 2025</w:t>
      </w:r>
      <w:r w:rsidR="00596209" w:rsidRPr="001C60E2">
        <w:rPr>
          <w:sz w:val="14"/>
          <w:szCs w:val="14"/>
        </w:rPr>
        <w:t xml:space="preserve"> </w:t>
      </w:r>
      <w:r w:rsidR="009E2F2F" w:rsidRPr="00772ACE">
        <w:rPr>
          <w:sz w:val="14"/>
          <w:szCs w:val="14"/>
        </w:rPr>
        <w:t>byl v</w:t>
      </w:r>
      <w:r w:rsidR="009E2F2F" w:rsidRPr="00772ACE">
        <w:rPr>
          <w:rFonts w:hint="eastAsia"/>
          <w:sz w:val="14"/>
          <w:szCs w:val="14"/>
        </w:rPr>
        <w:t>ý</w:t>
      </w:r>
      <w:r w:rsidR="009E2F2F" w:rsidRPr="00772ACE">
        <w:rPr>
          <w:sz w:val="14"/>
          <w:szCs w:val="14"/>
        </w:rPr>
        <w:t>sledek hospoda</w:t>
      </w:r>
      <w:r w:rsidR="009E2F2F" w:rsidRPr="00772ACE">
        <w:rPr>
          <w:rFonts w:hint="eastAsia"/>
          <w:sz w:val="14"/>
          <w:szCs w:val="14"/>
        </w:rPr>
        <w:t>ř</w:t>
      </w:r>
      <w:r w:rsidR="009E2F2F" w:rsidRPr="00772ACE">
        <w:rPr>
          <w:sz w:val="14"/>
          <w:szCs w:val="14"/>
        </w:rPr>
        <w:t>en</w:t>
      </w:r>
      <w:r w:rsidR="009E2F2F" w:rsidRPr="00772ACE">
        <w:rPr>
          <w:rFonts w:hint="eastAsia"/>
          <w:sz w:val="14"/>
          <w:szCs w:val="14"/>
        </w:rPr>
        <w:t>í</w:t>
      </w:r>
      <w:r w:rsidR="009E2F2F" w:rsidRPr="00772ACE">
        <w:rPr>
          <w:sz w:val="14"/>
          <w:szCs w:val="14"/>
        </w:rPr>
        <w:t xml:space="preserve"> upraven o mimo</w:t>
      </w:r>
      <w:r w:rsidR="009E2F2F" w:rsidRPr="00772ACE">
        <w:rPr>
          <w:rFonts w:hint="eastAsia"/>
          <w:sz w:val="14"/>
          <w:szCs w:val="14"/>
        </w:rPr>
        <w:t>řá</w:t>
      </w:r>
      <w:r w:rsidR="009E2F2F" w:rsidRPr="00772ACE">
        <w:rPr>
          <w:sz w:val="14"/>
          <w:szCs w:val="14"/>
        </w:rPr>
        <w:t>dn</w:t>
      </w:r>
      <w:r w:rsidR="009E2F2F" w:rsidRPr="00772ACE">
        <w:rPr>
          <w:rFonts w:hint="eastAsia"/>
          <w:sz w:val="14"/>
          <w:szCs w:val="14"/>
        </w:rPr>
        <w:t>é</w:t>
      </w:r>
      <w:r w:rsidR="009E2F2F" w:rsidRPr="00772ACE">
        <w:rPr>
          <w:sz w:val="14"/>
          <w:szCs w:val="14"/>
        </w:rPr>
        <w:t xml:space="preserve"> jednor</w:t>
      </w:r>
      <w:r w:rsidR="009E2F2F" w:rsidRPr="00772ACE">
        <w:rPr>
          <w:rFonts w:hint="eastAsia"/>
          <w:sz w:val="14"/>
          <w:szCs w:val="14"/>
        </w:rPr>
        <w:t>á</w:t>
      </w:r>
      <w:r w:rsidR="009E2F2F" w:rsidRPr="00772ACE">
        <w:rPr>
          <w:sz w:val="14"/>
          <w:szCs w:val="14"/>
        </w:rPr>
        <w:t>zov</w:t>
      </w:r>
      <w:r w:rsidR="009E2F2F" w:rsidRPr="00772ACE">
        <w:rPr>
          <w:rFonts w:hint="eastAsia"/>
          <w:sz w:val="14"/>
          <w:szCs w:val="14"/>
        </w:rPr>
        <w:t>é</w:t>
      </w:r>
      <w:r w:rsidR="009E2F2F" w:rsidRPr="00772ACE">
        <w:rPr>
          <w:sz w:val="14"/>
          <w:szCs w:val="14"/>
        </w:rPr>
        <w:t xml:space="preserve"> n</w:t>
      </w:r>
      <w:r w:rsidR="009E2F2F" w:rsidRPr="00772ACE">
        <w:rPr>
          <w:rFonts w:hint="eastAsia"/>
          <w:sz w:val="14"/>
          <w:szCs w:val="14"/>
        </w:rPr>
        <w:t>á</w:t>
      </w:r>
      <w:r w:rsidR="009E2F2F" w:rsidRPr="00772ACE">
        <w:rPr>
          <w:sz w:val="14"/>
          <w:szCs w:val="14"/>
        </w:rPr>
        <w:t>klady spojen</w:t>
      </w:r>
      <w:r w:rsidR="009E2F2F" w:rsidRPr="00772ACE">
        <w:rPr>
          <w:rFonts w:hint="eastAsia"/>
          <w:sz w:val="14"/>
          <w:szCs w:val="14"/>
        </w:rPr>
        <w:t>é</w:t>
      </w:r>
      <w:r w:rsidR="009E2F2F" w:rsidRPr="00772ACE">
        <w:rPr>
          <w:sz w:val="14"/>
          <w:szCs w:val="14"/>
        </w:rPr>
        <w:t xml:space="preserve"> </w:t>
      </w:r>
      <w:r w:rsidR="00596209" w:rsidRPr="001C60E2">
        <w:rPr>
          <w:sz w:val="14"/>
          <w:szCs w:val="14"/>
        </w:rPr>
        <w:t>s nerealizovanými akvizicemi</w:t>
      </w:r>
      <w:r w:rsidR="00596209">
        <w:rPr>
          <w:sz w:val="14"/>
          <w:szCs w:val="14"/>
        </w:rPr>
        <w:t xml:space="preserve">, </w:t>
      </w:r>
      <w:r w:rsidR="00596209" w:rsidRPr="001C60E2">
        <w:rPr>
          <w:sz w:val="14"/>
          <w:szCs w:val="14"/>
        </w:rPr>
        <w:t>úhradami vázanými na akcie v souvislosti se zaměstnaneckým opčním plánem</w:t>
      </w:r>
      <w:r w:rsidR="00596209">
        <w:rPr>
          <w:sz w:val="14"/>
          <w:szCs w:val="14"/>
        </w:rPr>
        <w:t xml:space="preserve"> </w:t>
      </w:r>
      <w:r w:rsidR="009E2F2F" w:rsidRPr="00772ACE">
        <w:rPr>
          <w:sz w:val="14"/>
          <w:szCs w:val="14"/>
        </w:rPr>
        <w:t>a n</w:t>
      </w:r>
      <w:r w:rsidR="009E2F2F" w:rsidRPr="00772ACE">
        <w:rPr>
          <w:rFonts w:hint="eastAsia"/>
          <w:sz w:val="14"/>
          <w:szCs w:val="14"/>
        </w:rPr>
        <w:t>á</w:t>
      </w:r>
      <w:r w:rsidR="009E2F2F" w:rsidRPr="00772ACE">
        <w:rPr>
          <w:sz w:val="14"/>
          <w:szCs w:val="14"/>
        </w:rPr>
        <w:t>klady na emisi dluhopis</w:t>
      </w:r>
      <w:r w:rsidR="009E2F2F" w:rsidRPr="00772ACE">
        <w:rPr>
          <w:rFonts w:hint="eastAsia"/>
          <w:sz w:val="14"/>
          <w:szCs w:val="14"/>
        </w:rPr>
        <w:t>ů</w:t>
      </w:r>
      <w:r w:rsidR="009E2F2F" w:rsidRPr="00772ACE">
        <w:rPr>
          <w:sz w:val="14"/>
          <w:szCs w:val="14"/>
        </w:rPr>
        <w:t xml:space="preserve"> a bankovn</w:t>
      </w:r>
      <w:r w:rsidR="009E2F2F" w:rsidRPr="00772ACE">
        <w:rPr>
          <w:rFonts w:hint="eastAsia"/>
          <w:sz w:val="14"/>
          <w:szCs w:val="14"/>
        </w:rPr>
        <w:t>í</w:t>
      </w:r>
      <w:r w:rsidR="009E2F2F" w:rsidRPr="00772ACE">
        <w:rPr>
          <w:sz w:val="14"/>
          <w:szCs w:val="14"/>
        </w:rPr>
        <w:t xml:space="preserve"> poplatky souvisej</w:t>
      </w:r>
      <w:r w:rsidR="009E2F2F" w:rsidRPr="00772ACE">
        <w:rPr>
          <w:rFonts w:hint="eastAsia"/>
          <w:sz w:val="14"/>
          <w:szCs w:val="14"/>
        </w:rPr>
        <w:t>í</w:t>
      </w:r>
      <w:r w:rsidR="009E2F2F" w:rsidRPr="00772ACE">
        <w:rPr>
          <w:sz w:val="14"/>
          <w:szCs w:val="14"/>
        </w:rPr>
        <w:t>c</w:t>
      </w:r>
      <w:r w:rsidR="009E2F2F" w:rsidRPr="00772ACE">
        <w:rPr>
          <w:rFonts w:hint="eastAsia"/>
          <w:sz w:val="14"/>
          <w:szCs w:val="14"/>
        </w:rPr>
        <w:t>í</w:t>
      </w:r>
      <w:r w:rsidR="009E2F2F" w:rsidRPr="00772ACE">
        <w:rPr>
          <w:sz w:val="14"/>
          <w:szCs w:val="14"/>
        </w:rPr>
        <w:t xml:space="preserve"> s akvizi</w:t>
      </w:r>
      <w:r w:rsidR="009E2F2F" w:rsidRPr="00772ACE">
        <w:rPr>
          <w:rFonts w:hint="eastAsia"/>
          <w:sz w:val="14"/>
          <w:szCs w:val="14"/>
        </w:rPr>
        <w:t>č</w:t>
      </w:r>
      <w:r w:rsidR="009E2F2F" w:rsidRPr="00772ACE">
        <w:rPr>
          <w:sz w:val="14"/>
          <w:szCs w:val="14"/>
        </w:rPr>
        <w:t>n</w:t>
      </w:r>
      <w:r w:rsidR="009E2F2F" w:rsidRPr="00772ACE">
        <w:rPr>
          <w:rFonts w:hint="eastAsia"/>
          <w:sz w:val="14"/>
          <w:szCs w:val="14"/>
        </w:rPr>
        <w:t>í</w:t>
      </w:r>
      <w:r w:rsidR="009E2F2F" w:rsidRPr="00772ACE">
        <w:rPr>
          <w:sz w:val="14"/>
          <w:szCs w:val="14"/>
        </w:rPr>
        <w:t xml:space="preserve">m </w:t>
      </w:r>
      <w:r w:rsidR="009E2F2F" w:rsidRPr="00772ACE">
        <w:rPr>
          <w:rFonts w:hint="eastAsia"/>
          <w:sz w:val="14"/>
          <w:szCs w:val="14"/>
        </w:rPr>
        <w:t>ú</w:t>
      </w:r>
      <w:r w:rsidR="009E2F2F" w:rsidRPr="00772ACE">
        <w:rPr>
          <w:sz w:val="14"/>
          <w:szCs w:val="14"/>
        </w:rPr>
        <w:t>v</w:t>
      </w:r>
      <w:r w:rsidR="009E2F2F" w:rsidRPr="00772ACE">
        <w:rPr>
          <w:rFonts w:hint="eastAsia"/>
          <w:sz w:val="14"/>
          <w:szCs w:val="14"/>
        </w:rPr>
        <w:t>ě</w:t>
      </w:r>
      <w:r w:rsidR="009E2F2F" w:rsidRPr="00772ACE">
        <w:rPr>
          <w:sz w:val="14"/>
          <w:szCs w:val="14"/>
        </w:rPr>
        <w:t>rem</w:t>
      </w:r>
      <w:r w:rsidR="00596209">
        <w:rPr>
          <w:sz w:val="14"/>
          <w:szCs w:val="14"/>
        </w:rPr>
        <w:t xml:space="preserve">, </w:t>
      </w:r>
      <w:r w:rsidR="009E2F2F" w:rsidRPr="00772ACE">
        <w:rPr>
          <w:sz w:val="14"/>
          <w:szCs w:val="14"/>
        </w:rPr>
        <w:t>kter</w:t>
      </w:r>
      <w:r w:rsidR="009E2F2F" w:rsidRPr="00772ACE">
        <w:rPr>
          <w:rFonts w:hint="eastAsia"/>
          <w:sz w:val="14"/>
          <w:szCs w:val="14"/>
        </w:rPr>
        <w:t>é</w:t>
      </w:r>
      <w:r w:rsidR="009E2F2F" w:rsidRPr="00772ACE">
        <w:rPr>
          <w:sz w:val="14"/>
          <w:szCs w:val="14"/>
        </w:rPr>
        <w:t xml:space="preserve"> obecn</w:t>
      </w:r>
      <w:r w:rsidR="009E2F2F" w:rsidRPr="00772ACE">
        <w:rPr>
          <w:rFonts w:hint="eastAsia"/>
          <w:sz w:val="14"/>
          <w:szCs w:val="14"/>
        </w:rPr>
        <w:t>ě</w:t>
      </w:r>
      <w:r w:rsidR="009E2F2F" w:rsidRPr="00772ACE">
        <w:rPr>
          <w:sz w:val="14"/>
          <w:szCs w:val="14"/>
        </w:rPr>
        <w:t xml:space="preserve"> nesouvisej</w:t>
      </w:r>
      <w:r w:rsidR="009E2F2F" w:rsidRPr="00772ACE">
        <w:rPr>
          <w:rFonts w:hint="eastAsia"/>
          <w:sz w:val="14"/>
          <w:szCs w:val="14"/>
        </w:rPr>
        <w:t>í</w:t>
      </w:r>
      <w:r w:rsidR="009E2F2F" w:rsidRPr="00772ACE">
        <w:rPr>
          <w:sz w:val="14"/>
          <w:szCs w:val="14"/>
        </w:rPr>
        <w:t xml:space="preserve"> s</w:t>
      </w:r>
      <w:r w:rsidR="009E2F2F">
        <w:rPr>
          <w:sz w:val="14"/>
          <w:szCs w:val="14"/>
        </w:rPr>
        <w:t> </w:t>
      </w:r>
      <w:r w:rsidR="009E2F2F" w:rsidRPr="00772ACE">
        <w:rPr>
          <w:sz w:val="14"/>
          <w:szCs w:val="14"/>
        </w:rPr>
        <w:t>b</w:t>
      </w:r>
      <w:r w:rsidR="009E2F2F" w:rsidRPr="00772ACE">
        <w:rPr>
          <w:rFonts w:hint="eastAsia"/>
          <w:sz w:val="14"/>
          <w:szCs w:val="14"/>
        </w:rPr>
        <w:t>ěž</w:t>
      </w:r>
      <w:r w:rsidR="009E2F2F" w:rsidRPr="00772ACE">
        <w:rPr>
          <w:sz w:val="14"/>
          <w:szCs w:val="14"/>
        </w:rPr>
        <w:t>n</w:t>
      </w:r>
      <w:r w:rsidR="009E2F2F" w:rsidRPr="00772ACE">
        <w:rPr>
          <w:rFonts w:hint="eastAsia"/>
          <w:sz w:val="14"/>
          <w:szCs w:val="14"/>
        </w:rPr>
        <w:t>ý</w:t>
      </w:r>
      <w:r w:rsidR="009E2F2F" w:rsidRPr="00772ACE">
        <w:rPr>
          <w:sz w:val="14"/>
          <w:szCs w:val="14"/>
        </w:rPr>
        <w:t>m</w:t>
      </w:r>
      <w:r w:rsidR="009E2F2F">
        <w:rPr>
          <w:sz w:val="14"/>
          <w:szCs w:val="14"/>
        </w:rPr>
        <w:t xml:space="preserve"> </w:t>
      </w:r>
      <w:r w:rsidR="009E2F2F" w:rsidRPr="00772ACE">
        <w:rPr>
          <w:sz w:val="14"/>
          <w:szCs w:val="14"/>
        </w:rPr>
        <w:t>hospoda</w:t>
      </w:r>
      <w:r w:rsidR="009E2F2F" w:rsidRPr="00772ACE">
        <w:rPr>
          <w:rFonts w:hint="eastAsia"/>
          <w:sz w:val="14"/>
          <w:szCs w:val="14"/>
        </w:rPr>
        <w:t>ř</w:t>
      </w:r>
      <w:r w:rsidR="009E2F2F" w:rsidRPr="00772ACE">
        <w:rPr>
          <w:sz w:val="14"/>
          <w:szCs w:val="14"/>
        </w:rPr>
        <w:t>en</w:t>
      </w:r>
      <w:r w:rsidR="009E2F2F" w:rsidRPr="00772ACE">
        <w:rPr>
          <w:rFonts w:hint="eastAsia"/>
          <w:sz w:val="14"/>
          <w:szCs w:val="14"/>
        </w:rPr>
        <w:t>í</w:t>
      </w:r>
      <w:r w:rsidR="009E2F2F" w:rsidRPr="00772ACE">
        <w:rPr>
          <w:sz w:val="14"/>
          <w:szCs w:val="14"/>
        </w:rPr>
        <w:t>m a tvorbou hodnoty v dan</w:t>
      </w:r>
      <w:r w:rsidR="009E2F2F" w:rsidRPr="00772ACE">
        <w:rPr>
          <w:rFonts w:hint="eastAsia"/>
          <w:sz w:val="14"/>
          <w:szCs w:val="14"/>
        </w:rPr>
        <w:t>é</w:t>
      </w:r>
      <w:r w:rsidR="009E2F2F" w:rsidRPr="00772ACE">
        <w:rPr>
          <w:sz w:val="14"/>
          <w:szCs w:val="14"/>
        </w:rPr>
        <w:t>m obdob</w:t>
      </w:r>
      <w:r w:rsidR="009E2F2F" w:rsidRPr="00772ACE">
        <w:rPr>
          <w:rFonts w:hint="eastAsia"/>
          <w:sz w:val="14"/>
          <w:szCs w:val="14"/>
        </w:rPr>
        <w:t>í</w:t>
      </w:r>
      <w:r w:rsidR="009E2F2F" w:rsidRPr="00772ACE">
        <w:rPr>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94C1" w14:textId="77777777" w:rsidR="005166BE" w:rsidRPr="0034239F" w:rsidRDefault="0034239F" w:rsidP="0034239F">
    <w:pPr>
      <w:pStyle w:val="Zhlav"/>
      <w:ind w:hanging="1560"/>
    </w:pPr>
    <w:r>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364" w14:textId="77777777" w:rsidR="000D4999" w:rsidRDefault="000D4999" w:rsidP="0020291C">
    <w:pPr>
      <w:pStyle w:val="Zhlav"/>
      <w:ind w:hanging="1560"/>
    </w:pPr>
    <w:r>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3E98"/>
    <w:multiLevelType w:val="hybridMultilevel"/>
    <w:tmpl w:val="3B1CFFF0"/>
    <w:lvl w:ilvl="0" w:tplc="FFFFFFFF">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decimal"/>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6" w15:restartNumberingAfterBreak="0">
    <w:nsid w:val="2D9C062D"/>
    <w:multiLevelType w:val="hybridMultilevel"/>
    <w:tmpl w:val="23BEAB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2" w15:restartNumberingAfterBreak="0">
    <w:nsid w:val="756F799F"/>
    <w:multiLevelType w:val="hybridMultilevel"/>
    <w:tmpl w:val="23BEAB0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7F67442"/>
    <w:multiLevelType w:val="multilevel"/>
    <w:tmpl w:val="FFFFFFFF"/>
    <w:lvl w:ilvl="0">
      <w:start w:val="1"/>
      <w:numFmt w:val="decimal"/>
      <w:pStyle w:val="DocText"/>
      <w:lvlText w:val=""/>
      <w:lvlJc w:val="left"/>
      <w:pPr>
        <w:ind w:left="0" w:firstLine="0"/>
      </w:pPr>
    </w:lvl>
    <w:lvl w:ilvl="1">
      <w:start w:val="1"/>
      <w:numFmt w:val="lowerLetter"/>
      <w:pStyle w:val="DocTextL1"/>
      <w:lvlText w:val="%2."/>
      <w:lvlJc w:val="left"/>
      <w:pPr>
        <w:ind w:left="1440" w:hanging="360"/>
      </w:pPr>
    </w:lvl>
    <w:lvl w:ilvl="2">
      <w:start w:val="1"/>
      <w:numFmt w:val="lowerRoman"/>
      <w:pStyle w:val="DocTextL2"/>
      <w:lvlText w:val="%3."/>
      <w:lvlJc w:val="right"/>
      <w:pPr>
        <w:ind w:left="2160" w:hanging="180"/>
      </w:pPr>
    </w:lvl>
    <w:lvl w:ilvl="3">
      <w:start w:val="1"/>
      <w:numFmt w:val="decimal"/>
      <w:pStyle w:val="DocTextL3"/>
      <w:lvlText w:val="%4."/>
      <w:lvlJc w:val="left"/>
      <w:pPr>
        <w:ind w:left="2880" w:hanging="360"/>
      </w:pPr>
    </w:lvl>
    <w:lvl w:ilvl="4">
      <w:start w:val="1"/>
      <w:numFmt w:val="lowerLetter"/>
      <w:pStyle w:val="DocTextL4"/>
      <w:lvlText w:val="%5."/>
      <w:lvlJc w:val="left"/>
      <w:pPr>
        <w:ind w:left="3600" w:hanging="360"/>
      </w:pPr>
    </w:lvl>
    <w:lvl w:ilvl="5">
      <w:start w:val="1"/>
      <w:numFmt w:val="lowerRoman"/>
      <w:pStyle w:val="DocTextL5"/>
      <w:lvlText w:val="%6."/>
      <w:lvlJc w:val="right"/>
      <w:pPr>
        <w:ind w:left="4320" w:hanging="180"/>
      </w:pPr>
    </w:lvl>
    <w:lvl w:ilvl="6">
      <w:start w:val="1"/>
      <w:numFmt w:val="decimal"/>
      <w:pStyle w:val="DocTextL6"/>
      <w:lvlText w:val="%7."/>
      <w:lvlJc w:val="left"/>
      <w:pPr>
        <w:ind w:left="5040" w:hanging="360"/>
      </w:pPr>
    </w:lvl>
    <w:lvl w:ilvl="7">
      <w:start w:val="1"/>
      <w:numFmt w:val="lowerLetter"/>
      <w:pStyle w:val="DocTextL7"/>
      <w:lvlText w:val="%8."/>
      <w:lvlJc w:val="left"/>
      <w:pPr>
        <w:ind w:left="5760" w:hanging="360"/>
      </w:pPr>
    </w:lvl>
    <w:lvl w:ilvl="8">
      <w:start w:val="1"/>
      <w:numFmt w:val="lowerRoman"/>
      <w:pStyle w:val="DocTextL8"/>
      <w:lvlText w:val="%9."/>
      <w:lvlJc w:val="right"/>
      <w:pPr>
        <w:ind w:left="6480" w:hanging="180"/>
      </w:p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2064869404">
    <w:abstractNumId w:val="13"/>
  </w:num>
  <w:num w:numId="2" w16cid:durableId="1730569313">
    <w:abstractNumId w:val="1"/>
  </w:num>
  <w:num w:numId="3" w16cid:durableId="1984000081">
    <w:abstractNumId w:val="8"/>
  </w:num>
  <w:num w:numId="4" w16cid:durableId="1972323979">
    <w:abstractNumId w:val="4"/>
  </w:num>
  <w:num w:numId="5" w16cid:durableId="1764062571">
    <w:abstractNumId w:val="10"/>
  </w:num>
  <w:num w:numId="6" w16cid:durableId="1167020940">
    <w:abstractNumId w:val="9"/>
  </w:num>
  <w:num w:numId="7" w16cid:durableId="961301997">
    <w:abstractNumId w:val="3"/>
  </w:num>
  <w:num w:numId="8" w16cid:durableId="1720130735">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9" w16cid:durableId="1448625609">
    <w:abstractNumId w:val="2"/>
  </w:num>
  <w:num w:numId="10" w16cid:durableId="1827696952">
    <w:abstractNumId w:val="14"/>
  </w:num>
  <w:num w:numId="11" w16cid:durableId="1986154460">
    <w:abstractNumId w:val="11"/>
  </w:num>
  <w:num w:numId="12" w16cid:durableId="773089837">
    <w:abstractNumId w:val="7"/>
  </w:num>
  <w:num w:numId="13" w16cid:durableId="316543268">
    <w:abstractNumId w:val="5"/>
  </w:num>
  <w:num w:numId="14" w16cid:durableId="570392137">
    <w:abstractNumId w:val="2"/>
  </w:num>
  <w:num w:numId="15" w16cid:durableId="1255436019">
    <w:abstractNumId w:val="12"/>
  </w:num>
  <w:num w:numId="16" w16cid:durableId="296881808">
    <w:abstractNumId w:val="6"/>
  </w:num>
  <w:num w:numId="17" w16cid:durableId="449859882">
    <w:abstractNumId w:val="0"/>
  </w:num>
  <w:num w:numId="18" w16cid:durableId="178333187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01BDA"/>
    <w:rsid w:val="00002F73"/>
    <w:rsid w:val="00007915"/>
    <w:rsid w:val="0001238C"/>
    <w:rsid w:val="00013B78"/>
    <w:rsid w:val="000146E4"/>
    <w:rsid w:val="00024A8F"/>
    <w:rsid w:val="00025758"/>
    <w:rsid w:val="00026BCA"/>
    <w:rsid w:val="00027958"/>
    <w:rsid w:val="00030BCF"/>
    <w:rsid w:val="000312D5"/>
    <w:rsid w:val="000315CE"/>
    <w:rsid w:val="000317C5"/>
    <w:rsid w:val="00031FCB"/>
    <w:rsid w:val="00032128"/>
    <w:rsid w:val="000328D7"/>
    <w:rsid w:val="000410E3"/>
    <w:rsid w:val="00041FF2"/>
    <w:rsid w:val="00045A5B"/>
    <w:rsid w:val="00047D9F"/>
    <w:rsid w:val="00050C6B"/>
    <w:rsid w:val="000521C4"/>
    <w:rsid w:val="00052313"/>
    <w:rsid w:val="00054E3A"/>
    <w:rsid w:val="00054E74"/>
    <w:rsid w:val="00055EFC"/>
    <w:rsid w:val="0005703D"/>
    <w:rsid w:val="00063FCF"/>
    <w:rsid w:val="000646B2"/>
    <w:rsid w:val="00064D2F"/>
    <w:rsid w:val="00065D2D"/>
    <w:rsid w:val="00067C03"/>
    <w:rsid w:val="000702EA"/>
    <w:rsid w:val="0008128D"/>
    <w:rsid w:val="00082DDE"/>
    <w:rsid w:val="00083E28"/>
    <w:rsid w:val="00084F0D"/>
    <w:rsid w:val="000932B0"/>
    <w:rsid w:val="000954A5"/>
    <w:rsid w:val="000A06A3"/>
    <w:rsid w:val="000A0F7A"/>
    <w:rsid w:val="000A248B"/>
    <w:rsid w:val="000A44C2"/>
    <w:rsid w:val="000A491D"/>
    <w:rsid w:val="000A5B75"/>
    <w:rsid w:val="000A64C7"/>
    <w:rsid w:val="000B004E"/>
    <w:rsid w:val="000B0726"/>
    <w:rsid w:val="000B1A3F"/>
    <w:rsid w:val="000B5634"/>
    <w:rsid w:val="000B5819"/>
    <w:rsid w:val="000C01D5"/>
    <w:rsid w:val="000C0BB8"/>
    <w:rsid w:val="000C0DC2"/>
    <w:rsid w:val="000C661D"/>
    <w:rsid w:val="000D160E"/>
    <w:rsid w:val="000D373D"/>
    <w:rsid w:val="000D4999"/>
    <w:rsid w:val="000E32AE"/>
    <w:rsid w:val="000E32CE"/>
    <w:rsid w:val="000E72FD"/>
    <w:rsid w:val="000F106F"/>
    <w:rsid w:val="000F12DC"/>
    <w:rsid w:val="000F15CC"/>
    <w:rsid w:val="000F4C88"/>
    <w:rsid w:val="000F4E3F"/>
    <w:rsid w:val="000F7895"/>
    <w:rsid w:val="000F7C50"/>
    <w:rsid w:val="00100AD7"/>
    <w:rsid w:val="0010170C"/>
    <w:rsid w:val="00102D2D"/>
    <w:rsid w:val="001043B3"/>
    <w:rsid w:val="00106FA4"/>
    <w:rsid w:val="001073FC"/>
    <w:rsid w:val="001075A1"/>
    <w:rsid w:val="0011114F"/>
    <w:rsid w:val="00114113"/>
    <w:rsid w:val="00115478"/>
    <w:rsid w:val="0011598F"/>
    <w:rsid w:val="001175D1"/>
    <w:rsid w:val="00123778"/>
    <w:rsid w:val="00123ADE"/>
    <w:rsid w:val="0013062C"/>
    <w:rsid w:val="00130C62"/>
    <w:rsid w:val="001314FB"/>
    <w:rsid w:val="00135D01"/>
    <w:rsid w:val="00140134"/>
    <w:rsid w:val="00140732"/>
    <w:rsid w:val="00140E4B"/>
    <w:rsid w:val="001412A2"/>
    <w:rsid w:val="00141ED8"/>
    <w:rsid w:val="00141EFD"/>
    <w:rsid w:val="001439B2"/>
    <w:rsid w:val="00146F6B"/>
    <w:rsid w:val="0015069F"/>
    <w:rsid w:val="001516F5"/>
    <w:rsid w:val="00151A9A"/>
    <w:rsid w:val="00154F03"/>
    <w:rsid w:val="00155778"/>
    <w:rsid w:val="00155D63"/>
    <w:rsid w:val="00156D24"/>
    <w:rsid w:val="001578E4"/>
    <w:rsid w:val="00163826"/>
    <w:rsid w:val="00163873"/>
    <w:rsid w:val="00163B89"/>
    <w:rsid w:val="00164299"/>
    <w:rsid w:val="0016723D"/>
    <w:rsid w:val="00173062"/>
    <w:rsid w:val="00177264"/>
    <w:rsid w:val="00180514"/>
    <w:rsid w:val="0018182D"/>
    <w:rsid w:val="00181A0B"/>
    <w:rsid w:val="00190CFC"/>
    <w:rsid w:val="00190F3F"/>
    <w:rsid w:val="001921A9"/>
    <w:rsid w:val="00195106"/>
    <w:rsid w:val="0019628D"/>
    <w:rsid w:val="001968A4"/>
    <w:rsid w:val="001968B4"/>
    <w:rsid w:val="00196E0E"/>
    <w:rsid w:val="00197D04"/>
    <w:rsid w:val="001A0CFE"/>
    <w:rsid w:val="001A2726"/>
    <w:rsid w:val="001A412A"/>
    <w:rsid w:val="001A5C85"/>
    <w:rsid w:val="001A74AC"/>
    <w:rsid w:val="001B0D2E"/>
    <w:rsid w:val="001B0F22"/>
    <w:rsid w:val="001B4199"/>
    <w:rsid w:val="001B67FD"/>
    <w:rsid w:val="001C37E6"/>
    <w:rsid w:val="001C395A"/>
    <w:rsid w:val="001C5673"/>
    <w:rsid w:val="001C60E2"/>
    <w:rsid w:val="001D6181"/>
    <w:rsid w:val="001D6E5F"/>
    <w:rsid w:val="001E0798"/>
    <w:rsid w:val="001E3DE2"/>
    <w:rsid w:val="001F4875"/>
    <w:rsid w:val="001F4BFD"/>
    <w:rsid w:val="00200E91"/>
    <w:rsid w:val="00201DB0"/>
    <w:rsid w:val="0020291C"/>
    <w:rsid w:val="00203007"/>
    <w:rsid w:val="002034C5"/>
    <w:rsid w:val="002045A7"/>
    <w:rsid w:val="00204DCC"/>
    <w:rsid w:val="00205E00"/>
    <w:rsid w:val="00207778"/>
    <w:rsid w:val="00207852"/>
    <w:rsid w:val="00207FB6"/>
    <w:rsid w:val="0021284C"/>
    <w:rsid w:val="00215086"/>
    <w:rsid w:val="00215416"/>
    <w:rsid w:val="00216299"/>
    <w:rsid w:val="002172AB"/>
    <w:rsid w:val="00220526"/>
    <w:rsid w:val="0022534A"/>
    <w:rsid w:val="0023015E"/>
    <w:rsid w:val="00230218"/>
    <w:rsid w:val="002312A7"/>
    <w:rsid w:val="002319AE"/>
    <w:rsid w:val="00232CBF"/>
    <w:rsid w:val="00235735"/>
    <w:rsid w:val="00235B7F"/>
    <w:rsid w:val="002365A0"/>
    <w:rsid w:val="002365C0"/>
    <w:rsid w:val="00236C0E"/>
    <w:rsid w:val="0023766A"/>
    <w:rsid w:val="00241634"/>
    <w:rsid w:val="00243301"/>
    <w:rsid w:val="0024401C"/>
    <w:rsid w:val="0025214A"/>
    <w:rsid w:val="002535F3"/>
    <w:rsid w:val="00253DC5"/>
    <w:rsid w:val="002603D2"/>
    <w:rsid w:val="00261491"/>
    <w:rsid w:val="00262327"/>
    <w:rsid w:val="00263850"/>
    <w:rsid w:val="00266D06"/>
    <w:rsid w:val="00273164"/>
    <w:rsid w:val="00283929"/>
    <w:rsid w:val="00283E2F"/>
    <w:rsid w:val="00285F59"/>
    <w:rsid w:val="002879FB"/>
    <w:rsid w:val="0029009E"/>
    <w:rsid w:val="002964C6"/>
    <w:rsid w:val="002974E5"/>
    <w:rsid w:val="002A6B39"/>
    <w:rsid w:val="002A7D7C"/>
    <w:rsid w:val="002B4E5C"/>
    <w:rsid w:val="002B4FA7"/>
    <w:rsid w:val="002B7388"/>
    <w:rsid w:val="002B767C"/>
    <w:rsid w:val="002C50DC"/>
    <w:rsid w:val="002C5BD7"/>
    <w:rsid w:val="002C7441"/>
    <w:rsid w:val="002C79B8"/>
    <w:rsid w:val="002D1D6E"/>
    <w:rsid w:val="002D3CB2"/>
    <w:rsid w:val="002E4814"/>
    <w:rsid w:val="002F0F6D"/>
    <w:rsid w:val="002F14C3"/>
    <w:rsid w:val="002F15A8"/>
    <w:rsid w:val="002F1981"/>
    <w:rsid w:val="002F4417"/>
    <w:rsid w:val="002F76D7"/>
    <w:rsid w:val="003060DA"/>
    <w:rsid w:val="003079CC"/>
    <w:rsid w:val="00313563"/>
    <w:rsid w:val="00313BE4"/>
    <w:rsid w:val="00314275"/>
    <w:rsid w:val="00321818"/>
    <w:rsid w:val="00322600"/>
    <w:rsid w:val="00323972"/>
    <w:rsid w:val="00326F9D"/>
    <w:rsid w:val="00330B7D"/>
    <w:rsid w:val="00330E73"/>
    <w:rsid w:val="00332AFC"/>
    <w:rsid w:val="00332D1F"/>
    <w:rsid w:val="003335BF"/>
    <w:rsid w:val="00337B90"/>
    <w:rsid w:val="00341C4A"/>
    <w:rsid w:val="0034239F"/>
    <w:rsid w:val="00342EF0"/>
    <w:rsid w:val="0034573B"/>
    <w:rsid w:val="003461FE"/>
    <w:rsid w:val="003467EC"/>
    <w:rsid w:val="00347188"/>
    <w:rsid w:val="00352087"/>
    <w:rsid w:val="003530B0"/>
    <w:rsid w:val="003578FE"/>
    <w:rsid w:val="003625E4"/>
    <w:rsid w:val="00363656"/>
    <w:rsid w:val="00363EE6"/>
    <w:rsid w:val="003640A7"/>
    <w:rsid w:val="00364426"/>
    <w:rsid w:val="00364F2B"/>
    <w:rsid w:val="00365414"/>
    <w:rsid w:val="00371A4F"/>
    <w:rsid w:val="003727F4"/>
    <w:rsid w:val="00374794"/>
    <w:rsid w:val="00375B6D"/>
    <w:rsid w:val="003820D0"/>
    <w:rsid w:val="00385E36"/>
    <w:rsid w:val="0038606B"/>
    <w:rsid w:val="003868B8"/>
    <w:rsid w:val="00386FF0"/>
    <w:rsid w:val="00387088"/>
    <w:rsid w:val="00391522"/>
    <w:rsid w:val="003955D9"/>
    <w:rsid w:val="003A4D72"/>
    <w:rsid w:val="003A6C08"/>
    <w:rsid w:val="003A6E92"/>
    <w:rsid w:val="003B3F1E"/>
    <w:rsid w:val="003B61D9"/>
    <w:rsid w:val="003B661D"/>
    <w:rsid w:val="003C03D6"/>
    <w:rsid w:val="003C2889"/>
    <w:rsid w:val="003C2C88"/>
    <w:rsid w:val="003C7B3B"/>
    <w:rsid w:val="003C7D9F"/>
    <w:rsid w:val="003D1E6D"/>
    <w:rsid w:val="003D29EB"/>
    <w:rsid w:val="003D3232"/>
    <w:rsid w:val="003D4760"/>
    <w:rsid w:val="003D4CED"/>
    <w:rsid w:val="003D6C68"/>
    <w:rsid w:val="003D7877"/>
    <w:rsid w:val="003E03DF"/>
    <w:rsid w:val="003E4D1E"/>
    <w:rsid w:val="003E67B2"/>
    <w:rsid w:val="003E6B38"/>
    <w:rsid w:val="003E7825"/>
    <w:rsid w:val="003F7CCF"/>
    <w:rsid w:val="004009C0"/>
    <w:rsid w:val="004037EA"/>
    <w:rsid w:val="004041FD"/>
    <w:rsid w:val="004100DE"/>
    <w:rsid w:val="004124F1"/>
    <w:rsid w:val="00412825"/>
    <w:rsid w:val="0041290D"/>
    <w:rsid w:val="00413926"/>
    <w:rsid w:val="00414921"/>
    <w:rsid w:val="00414FC2"/>
    <w:rsid w:val="0041654A"/>
    <w:rsid w:val="00417C2C"/>
    <w:rsid w:val="004254A0"/>
    <w:rsid w:val="00426A14"/>
    <w:rsid w:val="00430735"/>
    <w:rsid w:val="004311BB"/>
    <w:rsid w:val="004313F1"/>
    <w:rsid w:val="004325D6"/>
    <w:rsid w:val="0043524D"/>
    <w:rsid w:val="00436383"/>
    <w:rsid w:val="00441A32"/>
    <w:rsid w:val="004425DB"/>
    <w:rsid w:val="00444CD7"/>
    <w:rsid w:val="00446FE5"/>
    <w:rsid w:val="00450DAA"/>
    <w:rsid w:val="004516CF"/>
    <w:rsid w:val="00454738"/>
    <w:rsid w:val="00454750"/>
    <w:rsid w:val="00455C27"/>
    <w:rsid w:val="00456366"/>
    <w:rsid w:val="00463C97"/>
    <w:rsid w:val="00465BA5"/>
    <w:rsid w:val="00471E2F"/>
    <w:rsid w:val="004748BA"/>
    <w:rsid w:val="004813A9"/>
    <w:rsid w:val="0048348B"/>
    <w:rsid w:val="004844BC"/>
    <w:rsid w:val="004875CF"/>
    <w:rsid w:val="00490902"/>
    <w:rsid w:val="00494BAB"/>
    <w:rsid w:val="00494D2F"/>
    <w:rsid w:val="00494FC8"/>
    <w:rsid w:val="0049744B"/>
    <w:rsid w:val="004A2EA2"/>
    <w:rsid w:val="004A5C6D"/>
    <w:rsid w:val="004B382A"/>
    <w:rsid w:val="004B38BC"/>
    <w:rsid w:val="004B391D"/>
    <w:rsid w:val="004B402E"/>
    <w:rsid w:val="004B55B8"/>
    <w:rsid w:val="004C24A6"/>
    <w:rsid w:val="004C476E"/>
    <w:rsid w:val="004C6655"/>
    <w:rsid w:val="004D1442"/>
    <w:rsid w:val="004D203C"/>
    <w:rsid w:val="004D242C"/>
    <w:rsid w:val="004D2B23"/>
    <w:rsid w:val="004D4451"/>
    <w:rsid w:val="004D57BE"/>
    <w:rsid w:val="004D6432"/>
    <w:rsid w:val="004D7C55"/>
    <w:rsid w:val="004E15FE"/>
    <w:rsid w:val="004E7C09"/>
    <w:rsid w:val="004F064E"/>
    <w:rsid w:val="004F49A2"/>
    <w:rsid w:val="004F586B"/>
    <w:rsid w:val="004F68EC"/>
    <w:rsid w:val="00500F28"/>
    <w:rsid w:val="0050285C"/>
    <w:rsid w:val="00506FE8"/>
    <w:rsid w:val="005106EC"/>
    <w:rsid w:val="00513EB5"/>
    <w:rsid w:val="005148D6"/>
    <w:rsid w:val="00516394"/>
    <w:rsid w:val="005166BE"/>
    <w:rsid w:val="005166F1"/>
    <w:rsid w:val="00517520"/>
    <w:rsid w:val="005225E8"/>
    <w:rsid w:val="00525982"/>
    <w:rsid w:val="00530EFA"/>
    <w:rsid w:val="00531BBE"/>
    <w:rsid w:val="00532321"/>
    <w:rsid w:val="00532805"/>
    <w:rsid w:val="00535B46"/>
    <w:rsid w:val="0053613D"/>
    <w:rsid w:val="0054098A"/>
    <w:rsid w:val="005447C5"/>
    <w:rsid w:val="00545F70"/>
    <w:rsid w:val="005464C7"/>
    <w:rsid w:val="005469DC"/>
    <w:rsid w:val="00547D3C"/>
    <w:rsid w:val="00547FF8"/>
    <w:rsid w:val="00552092"/>
    <w:rsid w:val="005577E8"/>
    <w:rsid w:val="0057086F"/>
    <w:rsid w:val="00572C43"/>
    <w:rsid w:val="00574551"/>
    <w:rsid w:val="0057581A"/>
    <w:rsid w:val="00582CD6"/>
    <w:rsid w:val="005853C9"/>
    <w:rsid w:val="00585AE9"/>
    <w:rsid w:val="00586F0D"/>
    <w:rsid w:val="0059405D"/>
    <w:rsid w:val="00596067"/>
    <w:rsid w:val="00596209"/>
    <w:rsid w:val="00596FB5"/>
    <w:rsid w:val="005975AE"/>
    <w:rsid w:val="005A1015"/>
    <w:rsid w:val="005A1D3B"/>
    <w:rsid w:val="005A5064"/>
    <w:rsid w:val="005B5A39"/>
    <w:rsid w:val="005B7676"/>
    <w:rsid w:val="005C2FB1"/>
    <w:rsid w:val="005D02C3"/>
    <w:rsid w:val="005D31BA"/>
    <w:rsid w:val="005D4264"/>
    <w:rsid w:val="005D4EB2"/>
    <w:rsid w:val="005D5074"/>
    <w:rsid w:val="005E78FE"/>
    <w:rsid w:val="005F404E"/>
    <w:rsid w:val="006027D9"/>
    <w:rsid w:val="0060319D"/>
    <w:rsid w:val="00610405"/>
    <w:rsid w:val="00611935"/>
    <w:rsid w:val="00612F89"/>
    <w:rsid w:val="0061745C"/>
    <w:rsid w:val="00621978"/>
    <w:rsid w:val="00623995"/>
    <w:rsid w:val="006261E0"/>
    <w:rsid w:val="00626226"/>
    <w:rsid w:val="00626584"/>
    <w:rsid w:val="006306DF"/>
    <w:rsid w:val="00630862"/>
    <w:rsid w:val="00630976"/>
    <w:rsid w:val="00630BD0"/>
    <w:rsid w:val="006310AA"/>
    <w:rsid w:val="00636A89"/>
    <w:rsid w:val="00637160"/>
    <w:rsid w:val="006403D8"/>
    <w:rsid w:val="00640B63"/>
    <w:rsid w:val="00643E90"/>
    <w:rsid w:val="006449E7"/>
    <w:rsid w:val="00645127"/>
    <w:rsid w:val="006458EE"/>
    <w:rsid w:val="006503F9"/>
    <w:rsid w:val="006547EF"/>
    <w:rsid w:val="00654F23"/>
    <w:rsid w:val="006553C0"/>
    <w:rsid w:val="006557D4"/>
    <w:rsid w:val="006601DF"/>
    <w:rsid w:val="006617C4"/>
    <w:rsid w:val="0066429E"/>
    <w:rsid w:val="00665842"/>
    <w:rsid w:val="006663EA"/>
    <w:rsid w:val="00671C35"/>
    <w:rsid w:val="0067488B"/>
    <w:rsid w:val="0067562D"/>
    <w:rsid w:val="00675A82"/>
    <w:rsid w:val="00676FDE"/>
    <w:rsid w:val="006778B1"/>
    <w:rsid w:val="00677C38"/>
    <w:rsid w:val="006827E0"/>
    <w:rsid w:val="00682C36"/>
    <w:rsid w:val="00684BF2"/>
    <w:rsid w:val="00685EEC"/>
    <w:rsid w:val="00690062"/>
    <w:rsid w:val="006969D0"/>
    <w:rsid w:val="006A182A"/>
    <w:rsid w:val="006A2DAA"/>
    <w:rsid w:val="006A5AD5"/>
    <w:rsid w:val="006A72C0"/>
    <w:rsid w:val="006B0E1A"/>
    <w:rsid w:val="006B1BCF"/>
    <w:rsid w:val="006B1E36"/>
    <w:rsid w:val="006B3C93"/>
    <w:rsid w:val="006B3E71"/>
    <w:rsid w:val="006C0A2C"/>
    <w:rsid w:val="006C2B15"/>
    <w:rsid w:val="006C35D2"/>
    <w:rsid w:val="006C4C63"/>
    <w:rsid w:val="006C4E52"/>
    <w:rsid w:val="006C5CCD"/>
    <w:rsid w:val="006C7C5A"/>
    <w:rsid w:val="006D19DE"/>
    <w:rsid w:val="006D1A3F"/>
    <w:rsid w:val="006D1EC9"/>
    <w:rsid w:val="006D2855"/>
    <w:rsid w:val="006D4D86"/>
    <w:rsid w:val="006E01D8"/>
    <w:rsid w:val="006E434D"/>
    <w:rsid w:val="006E5EE8"/>
    <w:rsid w:val="006E6A44"/>
    <w:rsid w:val="006F4FF8"/>
    <w:rsid w:val="006F5A77"/>
    <w:rsid w:val="006F5BA9"/>
    <w:rsid w:val="006F70E1"/>
    <w:rsid w:val="006F7E34"/>
    <w:rsid w:val="007007D0"/>
    <w:rsid w:val="00701766"/>
    <w:rsid w:val="0070318B"/>
    <w:rsid w:val="00707179"/>
    <w:rsid w:val="00707853"/>
    <w:rsid w:val="00707D84"/>
    <w:rsid w:val="0071191C"/>
    <w:rsid w:val="0071747E"/>
    <w:rsid w:val="007201A6"/>
    <w:rsid w:val="00721002"/>
    <w:rsid w:val="00722AB3"/>
    <w:rsid w:val="00736B32"/>
    <w:rsid w:val="0074413E"/>
    <w:rsid w:val="0074634A"/>
    <w:rsid w:val="007506E3"/>
    <w:rsid w:val="00753C92"/>
    <w:rsid w:val="0076063D"/>
    <w:rsid w:val="007638E7"/>
    <w:rsid w:val="00764D2E"/>
    <w:rsid w:val="007651CE"/>
    <w:rsid w:val="00766416"/>
    <w:rsid w:val="00770B17"/>
    <w:rsid w:val="00771BE2"/>
    <w:rsid w:val="007742E8"/>
    <w:rsid w:val="00774E01"/>
    <w:rsid w:val="00776B05"/>
    <w:rsid w:val="00791F22"/>
    <w:rsid w:val="00792E60"/>
    <w:rsid w:val="00792E9F"/>
    <w:rsid w:val="00793F25"/>
    <w:rsid w:val="0079618F"/>
    <w:rsid w:val="00797E95"/>
    <w:rsid w:val="007A17A2"/>
    <w:rsid w:val="007A1BB2"/>
    <w:rsid w:val="007A3121"/>
    <w:rsid w:val="007B15D6"/>
    <w:rsid w:val="007B45E5"/>
    <w:rsid w:val="007B7418"/>
    <w:rsid w:val="007B7F33"/>
    <w:rsid w:val="007C0CA0"/>
    <w:rsid w:val="007C4DCF"/>
    <w:rsid w:val="007C5FE0"/>
    <w:rsid w:val="007C7737"/>
    <w:rsid w:val="007D0463"/>
    <w:rsid w:val="007D0A2A"/>
    <w:rsid w:val="007D1B67"/>
    <w:rsid w:val="007D3069"/>
    <w:rsid w:val="007D3FE5"/>
    <w:rsid w:val="007D5A4D"/>
    <w:rsid w:val="007D7669"/>
    <w:rsid w:val="007E510B"/>
    <w:rsid w:val="007E5CB9"/>
    <w:rsid w:val="007F0169"/>
    <w:rsid w:val="007F3756"/>
    <w:rsid w:val="007F4C08"/>
    <w:rsid w:val="007F4E16"/>
    <w:rsid w:val="007F6224"/>
    <w:rsid w:val="00804B2E"/>
    <w:rsid w:val="00805B9A"/>
    <w:rsid w:val="008072EE"/>
    <w:rsid w:val="008100F5"/>
    <w:rsid w:val="00811ED2"/>
    <w:rsid w:val="008122DB"/>
    <w:rsid w:val="008129E5"/>
    <w:rsid w:val="008132E8"/>
    <w:rsid w:val="00815911"/>
    <w:rsid w:val="00816353"/>
    <w:rsid w:val="008209CB"/>
    <w:rsid w:val="008229FD"/>
    <w:rsid w:val="00824C3F"/>
    <w:rsid w:val="008318F7"/>
    <w:rsid w:val="0083274B"/>
    <w:rsid w:val="008358F3"/>
    <w:rsid w:val="00840FF0"/>
    <w:rsid w:val="008433FA"/>
    <w:rsid w:val="00844155"/>
    <w:rsid w:val="00846B9C"/>
    <w:rsid w:val="0084765D"/>
    <w:rsid w:val="008523EF"/>
    <w:rsid w:val="00852A75"/>
    <w:rsid w:val="008533E1"/>
    <w:rsid w:val="00853988"/>
    <w:rsid w:val="00854863"/>
    <w:rsid w:val="00855D99"/>
    <w:rsid w:val="00860579"/>
    <w:rsid w:val="00861539"/>
    <w:rsid w:val="00861A6F"/>
    <w:rsid w:val="008633DA"/>
    <w:rsid w:val="008633E1"/>
    <w:rsid w:val="0086545E"/>
    <w:rsid w:val="00865CB9"/>
    <w:rsid w:val="008706F1"/>
    <w:rsid w:val="00870E59"/>
    <w:rsid w:val="00870E92"/>
    <w:rsid w:val="00871CC7"/>
    <w:rsid w:val="008720A4"/>
    <w:rsid w:val="008729B5"/>
    <w:rsid w:val="00875BA1"/>
    <w:rsid w:val="00876AFA"/>
    <w:rsid w:val="00883983"/>
    <w:rsid w:val="0088560C"/>
    <w:rsid w:val="0088772D"/>
    <w:rsid w:val="0089083B"/>
    <w:rsid w:val="008915F4"/>
    <w:rsid w:val="008924C8"/>
    <w:rsid w:val="008931D1"/>
    <w:rsid w:val="0089379C"/>
    <w:rsid w:val="008939A9"/>
    <w:rsid w:val="00894C2D"/>
    <w:rsid w:val="008952E6"/>
    <w:rsid w:val="008A37B2"/>
    <w:rsid w:val="008A7E62"/>
    <w:rsid w:val="008A7ED3"/>
    <w:rsid w:val="008B0619"/>
    <w:rsid w:val="008B3342"/>
    <w:rsid w:val="008B3BF2"/>
    <w:rsid w:val="008B4215"/>
    <w:rsid w:val="008B4685"/>
    <w:rsid w:val="008B744E"/>
    <w:rsid w:val="008B7B36"/>
    <w:rsid w:val="008C4368"/>
    <w:rsid w:val="008C5DA3"/>
    <w:rsid w:val="008C6CFF"/>
    <w:rsid w:val="008D17DE"/>
    <w:rsid w:val="008D26C1"/>
    <w:rsid w:val="008D786C"/>
    <w:rsid w:val="008E06B6"/>
    <w:rsid w:val="008E0D79"/>
    <w:rsid w:val="008E49FD"/>
    <w:rsid w:val="008E582B"/>
    <w:rsid w:val="008E6DD7"/>
    <w:rsid w:val="008F19B8"/>
    <w:rsid w:val="008F2375"/>
    <w:rsid w:val="008F4ED3"/>
    <w:rsid w:val="008F51EA"/>
    <w:rsid w:val="008F6FDB"/>
    <w:rsid w:val="0090232E"/>
    <w:rsid w:val="00903BD8"/>
    <w:rsid w:val="009051FD"/>
    <w:rsid w:val="00906847"/>
    <w:rsid w:val="00911AB0"/>
    <w:rsid w:val="00911F2F"/>
    <w:rsid w:val="00915A55"/>
    <w:rsid w:val="0091769F"/>
    <w:rsid w:val="00921255"/>
    <w:rsid w:val="0092263C"/>
    <w:rsid w:val="00922DCC"/>
    <w:rsid w:val="009240DB"/>
    <w:rsid w:val="00926BEA"/>
    <w:rsid w:val="00930545"/>
    <w:rsid w:val="00930E26"/>
    <w:rsid w:val="00932C1D"/>
    <w:rsid w:val="00933640"/>
    <w:rsid w:val="009344BA"/>
    <w:rsid w:val="00935C22"/>
    <w:rsid w:val="00935FDD"/>
    <w:rsid w:val="009372C0"/>
    <w:rsid w:val="00937B66"/>
    <w:rsid w:val="00937D89"/>
    <w:rsid w:val="00940D75"/>
    <w:rsid w:val="00945C79"/>
    <w:rsid w:val="009466D5"/>
    <w:rsid w:val="00955C6D"/>
    <w:rsid w:val="00962126"/>
    <w:rsid w:val="0096357B"/>
    <w:rsid w:val="00964971"/>
    <w:rsid w:val="0096778C"/>
    <w:rsid w:val="00967A04"/>
    <w:rsid w:val="00973A4B"/>
    <w:rsid w:val="00974591"/>
    <w:rsid w:val="00975638"/>
    <w:rsid w:val="00980B4A"/>
    <w:rsid w:val="00981C43"/>
    <w:rsid w:val="00982716"/>
    <w:rsid w:val="00982EA7"/>
    <w:rsid w:val="00985B36"/>
    <w:rsid w:val="0098762D"/>
    <w:rsid w:val="00987ECA"/>
    <w:rsid w:val="009931C2"/>
    <w:rsid w:val="0099667F"/>
    <w:rsid w:val="009A0989"/>
    <w:rsid w:val="009A6E42"/>
    <w:rsid w:val="009A743B"/>
    <w:rsid w:val="009A7581"/>
    <w:rsid w:val="009B0D89"/>
    <w:rsid w:val="009B297A"/>
    <w:rsid w:val="009B31E8"/>
    <w:rsid w:val="009B5137"/>
    <w:rsid w:val="009C060D"/>
    <w:rsid w:val="009C2E9F"/>
    <w:rsid w:val="009C34C4"/>
    <w:rsid w:val="009C385B"/>
    <w:rsid w:val="009C5127"/>
    <w:rsid w:val="009C5465"/>
    <w:rsid w:val="009C72F9"/>
    <w:rsid w:val="009D02E6"/>
    <w:rsid w:val="009D10D5"/>
    <w:rsid w:val="009D13A4"/>
    <w:rsid w:val="009D5331"/>
    <w:rsid w:val="009E24F9"/>
    <w:rsid w:val="009E2F2F"/>
    <w:rsid w:val="009E3ED3"/>
    <w:rsid w:val="009E506A"/>
    <w:rsid w:val="009E77E3"/>
    <w:rsid w:val="009F0081"/>
    <w:rsid w:val="009F1B40"/>
    <w:rsid w:val="009F23B4"/>
    <w:rsid w:val="009F3789"/>
    <w:rsid w:val="009F5874"/>
    <w:rsid w:val="009F58BB"/>
    <w:rsid w:val="00A00CC7"/>
    <w:rsid w:val="00A01286"/>
    <w:rsid w:val="00A017B9"/>
    <w:rsid w:val="00A04997"/>
    <w:rsid w:val="00A04EE9"/>
    <w:rsid w:val="00A11889"/>
    <w:rsid w:val="00A12E23"/>
    <w:rsid w:val="00A144BF"/>
    <w:rsid w:val="00A14FFA"/>
    <w:rsid w:val="00A2270B"/>
    <w:rsid w:val="00A24AD2"/>
    <w:rsid w:val="00A2513F"/>
    <w:rsid w:val="00A27A78"/>
    <w:rsid w:val="00A318E9"/>
    <w:rsid w:val="00A405CA"/>
    <w:rsid w:val="00A41685"/>
    <w:rsid w:val="00A445E7"/>
    <w:rsid w:val="00A46EDE"/>
    <w:rsid w:val="00A50B7D"/>
    <w:rsid w:val="00A521E6"/>
    <w:rsid w:val="00A52394"/>
    <w:rsid w:val="00A5406C"/>
    <w:rsid w:val="00A56BB8"/>
    <w:rsid w:val="00A62330"/>
    <w:rsid w:val="00A646A0"/>
    <w:rsid w:val="00A67347"/>
    <w:rsid w:val="00A71263"/>
    <w:rsid w:val="00A718D4"/>
    <w:rsid w:val="00A74041"/>
    <w:rsid w:val="00A80FC5"/>
    <w:rsid w:val="00A84C0F"/>
    <w:rsid w:val="00A92E70"/>
    <w:rsid w:val="00A93267"/>
    <w:rsid w:val="00A937FB"/>
    <w:rsid w:val="00A93D6B"/>
    <w:rsid w:val="00A95F7D"/>
    <w:rsid w:val="00AA0AF5"/>
    <w:rsid w:val="00AA3ECE"/>
    <w:rsid w:val="00AA43BE"/>
    <w:rsid w:val="00AA576E"/>
    <w:rsid w:val="00AB0F78"/>
    <w:rsid w:val="00AB2A60"/>
    <w:rsid w:val="00AB551C"/>
    <w:rsid w:val="00AB6D32"/>
    <w:rsid w:val="00AB7DC6"/>
    <w:rsid w:val="00AC018F"/>
    <w:rsid w:val="00AC60C9"/>
    <w:rsid w:val="00AC73DE"/>
    <w:rsid w:val="00AD1660"/>
    <w:rsid w:val="00AD3324"/>
    <w:rsid w:val="00AD6508"/>
    <w:rsid w:val="00AE3826"/>
    <w:rsid w:val="00AE78ED"/>
    <w:rsid w:val="00AF0414"/>
    <w:rsid w:val="00AF2210"/>
    <w:rsid w:val="00AF2B9C"/>
    <w:rsid w:val="00AF5A27"/>
    <w:rsid w:val="00AF5D15"/>
    <w:rsid w:val="00B00EFF"/>
    <w:rsid w:val="00B01DF7"/>
    <w:rsid w:val="00B02263"/>
    <w:rsid w:val="00B04A26"/>
    <w:rsid w:val="00B07853"/>
    <w:rsid w:val="00B07AC8"/>
    <w:rsid w:val="00B17AA9"/>
    <w:rsid w:val="00B226B2"/>
    <w:rsid w:val="00B3123F"/>
    <w:rsid w:val="00B31869"/>
    <w:rsid w:val="00B34668"/>
    <w:rsid w:val="00B34819"/>
    <w:rsid w:val="00B351FE"/>
    <w:rsid w:val="00B35309"/>
    <w:rsid w:val="00B37EE2"/>
    <w:rsid w:val="00B40165"/>
    <w:rsid w:val="00B43B1D"/>
    <w:rsid w:val="00B46F91"/>
    <w:rsid w:val="00B50697"/>
    <w:rsid w:val="00B50AC3"/>
    <w:rsid w:val="00B52AB8"/>
    <w:rsid w:val="00B56B63"/>
    <w:rsid w:val="00B57C27"/>
    <w:rsid w:val="00B622D5"/>
    <w:rsid w:val="00B624A0"/>
    <w:rsid w:val="00B62DA9"/>
    <w:rsid w:val="00B6427D"/>
    <w:rsid w:val="00B64F9F"/>
    <w:rsid w:val="00B64FC8"/>
    <w:rsid w:val="00B65BD9"/>
    <w:rsid w:val="00B66E62"/>
    <w:rsid w:val="00B70E71"/>
    <w:rsid w:val="00B71868"/>
    <w:rsid w:val="00B718DB"/>
    <w:rsid w:val="00B71E69"/>
    <w:rsid w:val="00B7225F"/>
    <w:rsid w:val="00B75F53"/>
    <w:rsid w:val="00B85AC8"/>
    <w:rsid w:val="00B86B2B"/>
    <w:rsid w:val="00B9174E"/>
    <w:rsid w:val="00B9330B"/>
    <w:rsid w:val="00B97C32"/>
    <w:rsid w:val="00BA3BA5"/>
    <w:rsid w:val="00BA7D71"/>
    <w:rsid w:val="00BA7F2E"/>
    <w:rsid w:val="00BB1AA0"/>
    <w:rsid w:val="00BB5878"/>
    <w:rsid w:val="00BC4010"/>
    <w:rsid w:val="00BD1AF5"/>
    <w:rsid w:val="00BD1D25"/>
    <w:rsid w:val="00BD1EF8"/>
    <w:rsid w:val="00BD3DE3"/>
    <w:rsid w:val="00BD3E56"/>
    <w:rsid w:val="00BD6CFF"/>
    <w:rsid w:val="00BE0CA9"/>
    <w:rsid w:val="00BE1FBD"/>
    <w:rsid w:val="00BE2BB1"/>
    <w:rsid w:val="00BE34AC"/>
    <w:rsid w:val="00BE38A4"/>
    <w:rsid w:val="00BE47BD"/>
    <w:rsid w:val="00BE6C19"/>
    <w:rsid w:val="00BE7923"/>
    <w:rsid w:val="00BF05CD"/>
    <w:rsid w:val="00BF1473"/>
    <w:rsid w:val="00BF3714"/>
    <w:rsid w:val="00BF4B09"/>
    <w:rsid w:val="00BF5574"/>
    <w:rsid w:val="00C0053A"/>
    <w:rsid w:val="00C0053C"/>
    <w:rsid w:val="00C03272"/>
    <w:rsid w:val="00C07127"/>
    <w:rsid w:val="00C07641"/>
    <w:rsid w:val="00C10240"/>
    <w:rsid w:val="00C14AE8"/>
    <w:rsid w:val="00C14D6F"/>
    <w:rsid w:val="00C16AFB"/>
    <w:rsid w:val="00C225F4"/>
    <w:rsid w:val="00C23B7B"/>
    <w:rsid w:val="00C248C8"/>
    <w:rsid w:val="00C250F6"/>
    <w:rsid w:val="00C25F4A"/>
    <w:rsid w:val="00C30349"/>
    <w:rsid w:val="00C33801"/>
    <w:rsid w:val="00C35FA9"/>
    <w:rsid w:val="00C3747D"/>
    <w:rsid w:val="00C42491"/>
    <w:rsid w:val="00C42EC5"/>
    <w:rsid w:val="00C4724E"/>
    <w:rsid w:val="00C50EEB"/>
    <w:rsid w:val="00C52015"/>
    <w:rsid w:val="00C52920"/>
    <w:rsid w:val="00C55C09"/>
    <w:rsid w:val="00C56BFA"/>
    <w:rsid w:val="00C623C9"/>
    <w:rsid w:val="00C64A00"/>
    <w:rsid w:val="00C64B86"/>
    <w:rsid w:val="00C72DD5"/>
    <w:rsid w:val="00C744E1"/>
    <w:rsid w:val="00C74FED"/>
    <w:rsid w:val="00C75B8E"/>
    <w:rsid w:val="00C80897"/>
    <w:rsid w:val="00C82DF5"/>
    <w:rsid w:val="00C86E32"/>
    <w:rsid w:val="00C90353"/>
    <w:rsid w:val="00C90394"/>
    <w:rsid w:val="00C9232A"/>
    <w:rsid w:val="00C93607"/>
    <w:rsid w:val="00C93D49"/>
    <w:rsid w:val="00C96072"/>
    <w:rsid w:val="00C962EF"/>
    <w:rsid w:val="00CA75CC"/>
    <w:rsid w:val="00CB0F39"/>
    <w:rsid w:val="00CB3136"/>
    <w:rsid w:val="00CB3B8D"/>
    <w:rsid w:val="00CC01BF"/>
    <w:rsid w:val="00CC16B1"/>
    <w:rsid w:val="00CC16E7"/>
    <w:rsid w:val="00CC24A9"/>
    <w:rsid w:val="00CC53D0"/>
    <w:rsid w:val="00CC5F41"/>
    <w:rsid w:val="00CC66ED"/>
    <w:rsid w:val="00CD05D7"/>
    <w:rsid w:val="00CD4C3A"/>
    <w:rsid w:val="00CD5412"/>
    <w:rsid w:val="00CD5ED9"/>
    <w:rsid w:val="00CE0C40"/>
    <w:rsid w:val="00CE72A3"/>
    <w:rsid w:val="00CE7D53"/>
    <w:rsid w:val="00CF1825"/>
    <w:rsid w:val="00CF23ED"/>
    <w:rsid w:val="00CF327D"/>
    <w:rsid w:val="00CF5681"/>
    <w:rsid w:val="00CF6014"/>
    <w:rsid w:val="00CF7393"/>
    <w:rsid w:val="00CF7652"/>
    <w:rsid w:val="00CF7F01"/>
    <w:rsid w:val="00D003E1"/>
    <w:rsid w:val="00D0385E"/>
    <w:rsid w:val="00D056ED"/>
    <w:rsid w:val="00D12380"/>
    <w:rsid w:val="00D13C45"/>
    <w:rsid w:val="00D14363"/>
    <w:rsid w:val="00D155B6"/>
    <w:rsid w:val="00D166DD"/>
    <w:rsid w:val="00D22AB8"/>
    <w:rsid w:val="00D238D3"/>
    <w:rsid w:val="00D23BF9"/>
    <w:rsid w:val="00D26EA2"/>
    <w:rsid w:val="00D26F8B"/>
    <w:rsid w:val="00D318C9"/>
    <w:rsid w:val="00D352EB"/>
    <w:rsid w:val="00D35D66"/>
    <w:rsid w:val="00D40B9B"/>
    <w:rsid w:val="00D413A7"/>
    <w:rsid w:val="00D415E9"/>
    <w:rsid w:val="00D41E97"/>
    <w:rsid w:val="00D43DB8"/>
    <w:rsid w:val="00D469AD"/>
    <w:rsid w:val="00D46BDC"/>
    <w:rsid w:val="00D52A2B"/>
    <w:rsid w:val="00D61168"/>
    <w:rsid w:val="00D62168"/>
    <w:rsid w:val="00D629C1"/>
    <w:rsid w:val="00D65693"/>
    <w:rsid w:val="00D67C97"/>
    <w:rsid w:val="00D708D7"/>
    <w:rsid w:val="00D70AC1"/>
    <w:rsid w:val="00D70C92"/>
    <w:rsid w:val="00D725BC"/>
    <w:rsid w:val="00D74828"/>
    <w:rsid w:val="00D760C5"/>
    <w:rsid w:val="00D80977"/>
    <w:rsid w:val="00D826B2"/>
    <w:rsid w:val="00D82DB4"/>
    <w:rsid w:val="00D85EDC"/>
    <w:rsid w:val="00D91F0A"/>
    <w:rsid w:val="00D92C81"/>
    <w:rsid w:val="00DA1998"/>
    <w:rsid w:val="00DA4F19"/>
    <w:rsid w:val="00DA5C60"/>
    <w:rsid w:val="00DA6889"/>
    <w:rsid w:val="00DA7DF9"/>
    <w:rsid w:val="00DB023A"/>
    <w:rsid w:val="00DB03C0"/>
    <w:rsid w:val="00DB0CCC"/>
    <w:rsid w:val="00DB0FF3"/>
    <w:rsid w:val="00DB1203"/>
    <w:rsid w:val="00DB2FA6"/>
    <w:rsid w:val="00DB34FF"/>
    <w:rsid w:val="00DC5BFA"/>
    <w:rsid w:val="00DC6A86"/>
    <w:rsid w:val="00DD5212"/>
    <w:rsid w:val="00DD643E"/>
    <w:rsid w:val="00DF0788"/>
    <w:rsid w:val="00DF3AF9"/>
    <w:rsid w:val="00DF5167"/>
    <w:rsid w:val="00E01CEB"/>
    <w:rsid w:val="00E05826"/>
    <w:rsid w:val="00E06658"/>
    <w:rsid w:val="00E11853"/>
    <w:rsid w:val="00E11CD0"/>
    <w:rsid w:val="00E1236A"/>
    <w:rsid w:val="00E134C8"/>
    <w:rsid w:val="00E1599C"/>
    <w:rsid w:val="00E163B7"/>
    <w:rsid w:val="00E21492"/>
    <w:rsid w:val="00E22375"/>
    <w:rsid w:val="00E22FE0"/>
    <w:rsid w:val="00E24193"/>
    <w:rsid w:val="00E255F1"/>
    <w:rsid w:val="00E37653"/>
    <w:rsid w:val="00E3774A"/>
    <w:rsid w:val="00E37CC2"/>
    <w:rsid w:val="00E42785"/>
    <w:rsid w:val="00E43B44"/>
    <w:rsid w:val="00E44260"/>
    <w:rsid w:val="00E445A7"/>
    <w:rsid w:val="00E51034"/>
    <w:rsid w:val="00E5143D"/>
    <w:rsid w:val="00E51E9F"/>
    <w:rsid w:val="00E53BF0"/>
    <w:rsid w:val="00E54C88"/>
    <w:rsid w:val="00E571E4"/>
    <w:rsid w:val="00E676E0"/>
    <w:rsid w:val="00E7001E"/>
    <w:rsid w:val="00E732AC"/>
    <w:rsid w:val="00E74D35"/>
    <w:rsid w:val="00E76942"/>
    <w:rsid w:val="00E771A0"/>
    <w:rsid w:val="00E777AA"/>
    <w:rsid w:val="00E77C10"/>
    <w:rsid w:val="00E82F9B"/>
    <w:rsid w:val="00E867DF"/>
    <w:rsid w:val="00E917CD"/>
    <w:rsid w:val="00E9224B"/>
    <w:rsid w:val="00E9741E"/>
    <w:rsid w:val="00EA7F88"/>
    <w:rsid w:val="00EB0008"/>
    <w:rsid w:val="00EB23D1"/>
    <w:rsid w:val="00EB401A"/>
    <w:rsid w:val="00EB6893"/>
    <w:rsid w:val="00EC02BF"/>
    <w:rsid w:val="00EC34F3"/>
    <w:rsid w:val="00EC4EFD"/>
    <w:rsid w:val="00EC7039"/>
    <w:rsid w:val="00ED421E"/>
    <w:rsid w:val="00ED46F2"/>
    <w:rsid w:val="00EE1AD5"/>
    <w:rsid w:val="00EE4923"/>
    <w:rsid w:val="00EE69F8"/>
    <w:rsid w:val="00EE7727"/>
    <w:rsid w:val="00EF15A0"/>
    <w:rsid w:val="00EF19BF"/>
    <w:rsid w:val="00F038C6"/>
    <w:rsid w:val="00F127A2"/>
    <w:rsid w:val="00F16420"/>
    <w:rsid w:val="00F17FFD"/>
    <w:rsid w:val="00F23FEE"/>
    <w:rsid w:val="00F26B49"/>
    <w:rsid w:val="00F27663"/>
    <w:rsid w:val="00F3075D"/>
    <w:rsid w:val="00F30E34"/>
    <w:rsid w:val="00F31E56"/>
    <w:rsid w:val="00F33ABC"/>
    <w:rsid w:val="00F35E65"/>
    <w:rsid w:val="00F42AA7"/>
    <w:rsid w:val="00F436DE"/>
    <w:rsid w:val="00F436F9"/>
    <w:rsid w:val="00F45FDD"/>
    <w:rsid w:val="00F471A6"/>
    <w:rsid w:val="00F564F9"/>
    <w:rsid w:val="00F60130"/>
    <w:rsid w:val="00F64916"/>
    <w:rsid w:val="00F64B8D"/>
    <w:rsid w:val="00F653C4"/>
    <w:rsid w:val="00F7111B"/>
    <w:rsid w:val="00F717EF"/>
    <w:rsid w:val="00F71DA9"/>
    <w:rsid w:val="00F72589"/>
    <w:rsid w:val="00F7635B"/>
    <w:rsid w:val="00F77B59"/>
    <w:rsid w:val="00F805A8"/>
    <w:rsid w:val="00F84556"/>
    <w:rsid w:val="00F8765E"/>
    <w:rsid w:val="00F91839"/>
    <w:rsid w:val="00F922D4"/>
    <w:rsid w:val="00F963AF"/>
    <w:rsid w:val="00F96EDF"/>
    <w:rsid w:val="00F9739F"/>
    <w:rsid w:val="00F9759A"/>
    <w:rsid w:val="00FA2B98"/>
    <w:rsid w:val="00FA4D38"/>
    <w:rsid w:val="00FA57F5"/>
    <w:rsid w:val="00FA714F"/>
    <w:rsid w:val="00FA7CFC"/>
    <w:rsid w:val="00FB198C"/>
    <w:rsid w:val="00FB35F7"/>
    <w:rsid w:val="00FB4508"/>
    <w:rsid w:val="00FB7405"/>
    <w:rsid w:val="00FC5914"/>
    <w:rsid w:val="00FC7A29"/>
    <w:rsid w:val="00FC7C7F"/>
    <w:rsid w:val="00FD75BD"/>
    <w:rsid w:val="00FE241A"/>
    <w:rsid w:val="00FE3E97"/>
    <w:rsid w:val="00FE4042"/>
    <w:rsid w:val="00FE65B0"/>
    <w:rsid w:val="00FE6B6D"/>
    <w:rsid w:val="00FE767A"/>
    <w:rsid w:val="00FF023F"/>
    <w:rsid w:val="00FF27BC"/>
    <w:rsid w:val="0146CA51"/>
    <w:rsid w:val="0169700D"/>
    <w:rsid w:val="01E8AD23"/>
    <w:rsid w:val="01FCF039"/>
    <w:rsid w:val="02173F6B"/>
    <w:rsid w:val="02A0F28F"/>
    <w:rsid w:val="02A980A1"/>
    <w:rsid w:val="02AE0EFD"/>
    <w:rsid w:val="0300C441"/>
    <w:rsid w:val="0321CAA4"/>
    <w:rsid w:val="03444292"/>
    <w:rsid w:val="039DC373"/>
    <w:rsid w:val="03AF95F7"/>
    <w:rsid w:val="03E40DFE"/>
    <w:rsid w:val="03E6F48B"/>
    <w:rsid w:val="042B6775"/>
    <w:rsid w:val="042F7B9C"/>
    <w:rsid w:val="04826985"/>
    <w:rsid w:val="04AA826A"/>
    <w:rsid w:val="04C2DFF4"/>
    <w:rsid w:val="04D7AED4"/>
    <w:rsid w:val="04F1D615"/>
    <w:rsid w:val="056FE390"/>
    <w:rsid w:val="05858814"/>
    <w:rsid w:val="05DD237F"/>
    <w:rsid w:val="064391E2"/>
    <w:rsid w:val="0659481D"/>
    <w:rsid w:val="0679E2DF"/>
    <w:rsid w:val="0732C242"/>
    <w:rsid w:val="077F0EBA"/>
    <w:rsid w:val="07C8CEC0"/>
    <w:rsid w:val="07E1EF6D"/>
    <w:rsid w:val="07F96E91"/>
    <w:rsid w:val="08BB5DA1"/>
    <w:rsid w:val="09AA9C26"/>
    <w:rsid w:val="09BB484A"/>
    <w:rsid w:val="09D30FFB"/>
    <w:rsid w:val="09FE3577"/>
    <w:rsid w:val="0A029BFB"/>
    <w:rsid w:val="0A15E0CA"/>
    <w:rsid w:val="0AA69DC7"/>
    <w:rsid w:val="0AC57A1B"/>
    <w:rsid w:val="0BB57ACA"/>
    <w:rsid w:val="0BB67701"/>
    <w:rsid w:val="0BC6A1A8"/>
    <w:rsid w:val="0C61AA03"/>
    <w:rsid w:val="0D4404B2"/>
    <w:rsid w:val="0D75342F"/>
    <w:rsid w:val="0DA2BC7A"/>
    <w:rsid w:val="0DD0ED58"/>
    <w:rsid w:val="0DE7DE8C"/>
    <w:rsid w:val="0E6BFD40"/>
    <w:rsid w:val="0E937398"/>
    <w:rsid w:val="0EA1A242"/>
    <w:rsid w:val="0ED2A39C"/>
    <w:rsid w:val="0F0D0BCA"/>
    <w:rsid w:val="0FCC014F"/>
    <w:rsid w:val="1021F9B4"/>
    <w:rsid w:val="11480946"/>
    <w:rsid w:val="13001EEB"/>
    <w:rsid w:val="1323912F"/>
    <w:rsid w:val="134622B3"/>
    <w:rsid w:val="13C8138C"/>
    <w:rsid w:val="1432461F"/>
    <w:rsid w:val="14AFF39B"/>
    <w:rsid w:val="14C43593"/>
    <w:rsid w:val="1579EADE"/>
    <w:rsid w:val="157A8783"/>
    <w:rsid w:val="1596AC30"/>
    <w:rsid w:val="15B05720"/>
    <w:rsid w:val="171D00A8"/>
    <w:rsid w:val="17C0B2A7"/>
    <w:rsid w:val="17F33F8F"/>
    <w:rsid w:val="18598709"/>
    <w:rsid w:val="187B1F7C"/>
    <w:rsid w:val="1921A350"/>
    <w:rsid w:val="196106B6"/>
    <w:rsid w:val="1AFD4980"/>
    <w:rsid w:val="1B0A02B8"/>
    <w:rsid w:val="1B3E59AB"/>
    <w:rsid w:val="1B501D14"/>
    <w:rsid w:val="1BA3BA16"/>
    <w:rsid w:val="1C95680A"/>
    <w:rsid w:val="1CE38735"/>
    <w:rsid w:val="1D20065C"/>
    <w:rsid w:val="1D80EACE"/>
    <w:rsid w:val="1DDFBCA9"/>
    <w:rsid w:val="1DE6EC67"/>
    <w:rsid w:val="1E3C4413"/>
    <w:rsid w:val="1E4F6CB8"/>
    <w:rsid w:val="1F534DEA"/>
    <w:rsid w:val="1F7760C9"/>
    <w:rsid w:val="1FD012D0"/>
    <w:rsid w:val="1FF4A5DC"/>
    <w:rsid w:val="1FF6E0DC"/>
    <w:rsid w:val="206784E4"/>
    <w:rsid w:val="20F7BE9E"/>
    <w:rsid w:val="2129F4F8"/>
    <w:rsid w:val="21C8500A"/>
    <w:rsid w:val="2295A0DE"/>
    <w:rsid w:val="22CB2072"/>
    <w:rsid w:val="2399EFBB"/>
    <w:rsid w:val="23BD2113"/>
    <w:rsid w:val="24596073"/>
    <w:rsid w:val="24DCB2C3"/>
    <w:rsid w:val="25337A1D"/>
    <w:rsid w:val="25920FF8"/>
    <w:rsid w:val="25B3877A"/>
    <w:rsid w:val="25CAAB66"/>
    <w:rsid w:val="26231A6B"/>
    <w:rsid w:val="262F9CBB"/>
    <w:rsid w:val="26A12C18"/>
    <w:rsid w:val="2707776D"/>
    <w:rsid w:val="272D1ACC"/>
    <w:rsid w:val="279EEBEF"/>
    <w:rsid w:val="2800F602"/>
    <w:rsid w:val="28330083"/>
    <w:rsid w:val="28342D97"/>
    <w:rsid w:val="28ECDFA3"/>
    <w:rsid w:val="29979621"/>
    <w:rsid w:val="299B8D84"/>
    <w:rsid w:val="2A102246"/>
    <w:rsid w:val="2AB914BC"/>
    <w:rsid w:val="2ACABDB6"/>
    <w:rsid w:val="2B1A3BE5"/>
    <w:rsid w:val="2C606713"/>
    <w:rsid w:val="2CAD5423"/>
    <w:rsid w:val="2CD0D824"/>
    <w:rsid w:val="2CD89799"/>
    <w:rsid w:val="2D7B6BBC"/>
    <w:rsid w:val="2D8F5D02"/>
    <w:rsid w:val="2EB50857"/>
    <w:rsid w:val="2EDC2EB1"/>
    <w:rsid w:val="2F079AEB"/>
    <w:rsid w:val="2F18E1BB"/>
    <w:rsid w:val="2F332F1E"/>
    <w:rsid w:val="2F783E90"/>
    <w:rsid w:val="2FFBE794"/>
    <w:rsid w:val="3012C5D5"/>
    <w:rsid w:val="3036C26D"/>
    <w:rsid w:val="303B7461"/>
    <w:rsid w:val="30E9531B"/>
    <w:rsid w:val="311135C1"/>
    <w:rsid w:val="31C6967D"/>
    <w:rsid w:val="31F7043B"/>
    <w:rsid w:val="325B9E46"/>
    <w:rsid w:val="3295EC52"/>
    <w:rsid w:val="329841AF"/>
    <w:rsid w:val="329A9C29"/>
    <w:rsid w:val="329BAC6D"/>
    <w:rsid w:val="340B5EEF"/>
    <w:rsid w:val="34494DAD"/>
    <w:rsid w:val="34D73C5C"/>
    <w:rsid w:val="35964118"/>
    <w:rsid w:val="3698FE0C"/>
    <w:rsid w:val="370076DC"/>
    <w:rsid w:val="373A047C"/>
    <w:rsid w:val="376C1846"/>
    <w:rsid w:val="38264A9A"/>
    <w:rsid w:val="385672FF"/>
    <w:rsid w:val="38E20ADE"/>
    <w:rsid w:val="390616CC"/>
    <w:rsid w:val="3A4D101A"/>
    <w:rsid w:val="3B1EAD03"/>
    <w:rsid w:val="3C4D9565"/>
    <w:rsid w:val="3C60570C"/>
    <w:rsid w:val="3C81362B"/>
    <w:rsid w:val="3CA1A6B1"/>
    <w:rsid w:val="3CFBC37B"/>
    <w:rsid w:val="3D5250D1"/>
    <w:rsid w:val="3D83E382"/>
    <w:rsid w:val="3DDE8E36"/>
    <w:rsid w:val="3E12825A"/>
    <w:rsid w:val="3E1D3E17"/>
    <w:rsid w:val="3E1F00F3"/>
    <w:rsid w:val="3E4019B0"/>
    <w:rsid w:val="3E513057"/>
    <w:rsid w:val="3E9771E0"/>
    <w:rsid w:val="3EAEF6F3"/>
    <w:rsid w:val="3ECB46E8"/>
    <w:rsid w:val="3F3D5AD3"/>
    <w:rsid w:val="3FD38BA9"/>
    <w:rsid w:val="401515C1"/>
    <w:rsid w:val="403CC0E3"/>
    <w:rsid w:val="40A3EC1E"/>
    <w:rsid w:val="40BED5E1"/>
    <w:rsid w:val="40F2219A"/>
    <w:rsid w:val="412D7CB3"/>
    <w:rsid w:val="423135BF"/>
    <w:rsid w:val="425447CB"/>
    <w:rsid w:val="42B4D871"/>
    <w:rsid w:val="42BDD265"/>
    <w:rsid w:val="43083429"/>
    <w:rsid w:val="437BF84B"/>
    <w:rsid w:val="43D88A91"/>
    <w:rsid w:val="43DA36A3"/>
    <w:rsid w:val="4481362C"/>
    <w:rsid w:val="44CF0A17"/>
    <w:rsid w:val="44F13937"/>
    <w:rsid w:val="44FCC70C"/>
    <w:rsid w:val="452D4F77"/>
    <w:rsid w:val="453E46B3"/>
    <w:rsid w:val="46240987"/>
    <w:rsid w:val="463847FD"/>
    <w:rsid w:val="46DC30D2"/>
    <w:rsid w:val="46E17FDB"/>
    <w:rsid w:val="4826CFA9"/>
    <w:rsid w:val="48D85370"/>
    <w:rsid w:val="4926004A"/>
    <w:rsid w:val="492A9884"/>
    <w:rsid w:val="4A115348"/>
    <w:rsid w:val="4A17D063"/>
    <w:rsid w:val="4B28586A"/>
    <w:rsid w:val="4B2C601D"/>
    <w:rsid w:val="4B402FAD"/>
    <w:rsid w:val="4C15E4DD"/>
    <w:rsid w:val="4C1DCC5B"/>
    <w:rsid w:val="4C2165A0"/>
    <w:rsid w:val="4C3B73E7"/>
    <w:rsid w:val="4C8B7FF4"/>
    <w:rsid w:val="4CA5D07F"/>
    <w:rsid w:val="4D03AB4D"/>
    <w:rsid w:val="4DCF8D67"/>
    <w:rsid w:val="4DEDC93B"/>
    <w:rsid w:val="4F159156"/>
    <w:rsid w:val="4FB49A69"/>
    <w:rsid w:val="504BA877"/>
    <w:rsid w:val="513C5C69"/>
    <w:rsid w:val="51E34C76"/>
    <w:rsid w:val="52BE1E61"/>
    <w:rsid w:val="5377D146"/>
    <w:rsid w:val="53EBC614"/>
    <w:rsid w:val="545A774D"/>
    <w:rsid w:val="54662BD1"/>
    <w:rsid w:val="550A1629"/>
    <w:rsid w:val="552C3EA9"/>
    <w:rsid w:val="554A1951"/>
    <w:rsid w:val="561F584C"/>
    <w:rsid w:val="568EECC9"/>
    <w:rsid w:val="571D2A8B"/>
    <w:rsid w:val="57393DBE"/>
    <w:rsid w:val="5783A221"/>
    <w:rsid w:val="578E6FB2"/>
    <w:rsid w:val="580AC296"/>
    <w:rsid w:val="581EA2A9"/>
    <w:rsid w:val="5901F3C9"/>
    <w:rsid w:val="594029D7"/>
    <w:rsid w:val="5995309D"/>
    <w:rsid w:val="59F3F5BC"/>
    <w:rsid w:val="5A4E48E4"/>
    <w:rsid w:val="5B570AC8"/>
    <w:rsid w:val="5B665025"/>
    <w:rsid w:val="5BCF1460"/>
    <w:rsid w:val="5C240175"/>
    <w:rsid w:val="5C86D6BF"/>
    <w:rsid w:val="5CA1A140"/>
    <w:rsid w:val="5CAF6351"/>
    <w:rsid w:val="5CCE578B"/>
    <w:rsid w:val="5E2D0FF9"/>
    <w:rsid w:val="5E6445F1"/>
    <w:rsid w:val="5EBBF9BA"/>
    <w:rsid w:val="5F47FE94"/>
    <w:rsid w:val="5FAC94B9"/>
    <w:rsid w:val="5FF3A032"/>
    <w:rsid w:val="6035BEE0"/>
    <w:rsid w:val="605D1CEE"/>
    <w:rsid w:val="607B4465"/>
    <w:rsid w:val="60F7AE09"/>
    <w:rsid w:val="61351996"/>
    <w:rsid w:val="61386130"/>
    <w:rsid w:val="62C20A83"/>
    <w:rsid w:val="62F9F92D"/>
    <w:rsid w:val="635D3EC5"/>
    <w:rsid w:val="64C89007"/>
    <w:rsid w:val="64EB93FC"/>
    <w:rsid w:val="65290AEF"/>
    <w:rsid w:val="65A9851C"/>
    <w:rsid w:val="669E67DC"/>
    <w:rsid w:val="672CBBC0"/>
    <w:rsid w:val="673931DF"/>
    <w:rsid w:val="674C816C"/>
    <w:rsid w:val="67B62256"/>
    <w:rsid w:val="6804F5CD"/>
    <w:rsid w:val="688F1A55"/>
    <w:rsid w:val="693D6D2A"/>
    <w:rsid w:val="696CF792"/>
    <w:rsid w:val="6982B32B"/>
    <w:rsid w:val="698BDE69"/>
    <w:rsid w:val="6991385A"/>
    <w:rsid w:val="6B4854D7"/>
    <w:rsid w:val="6BBA5C51"/>
    <w:rsid w:val="6BD5F85C"/>
    <w:rsid w:val="6C3A09A6"/>
    <w:rsid w:val="6C81202E"/>
    <w:rsid w:val="6CE54E23"/>
    <w:rsid w:val="6D03F423"/>
    <w:rsid w:val="6D281727"/>
    <w:rsid w:val="6D317D2C"/>
    <w:rsid w:val="6DBE5B1F"/>
    <w:rsid w:val="6E03229E"/>
    <w:rsid w:val="6E143C82"/>
    <w:rsid w:val="6E2ABE3E"/>
    <w:rsid w:val="6E7569B9"/>
    <w:rsid w:val="6EE00833"/>
    <w:rsid w:val="6F29BB0B"/>
    <w:rsid w:val="6F637843"/>
    <w:rsid w:val="6FB31395"/>
    <w:rsid w:val="6FBEE6B9"/>
    <w:rsid w:val="7057A57F"/>
    <w:rsid w:val="70F32E4B"/>
    <w:rsid w:val="712B308F"/>
    <w:rsid w:val="71C6BD5D"/>
    <w:rsid w:val="72227313"/>
    <w:rsid w:val="722D9FA2"/>
    <w:rsid w:val="73409EE0"/>
    <w:rsid w:val="741DC799"/>
    <w:rsid w:val="743043B1"/>
    <w:rsid w:val="74F1D3E2"/>
    <w:rsid w:val="7543EF58"/>
    <w:rsid w:val="756DE2E9"/>
    <w:rsid w:val="767169CB"/>
    <w:rsid w:val="76902AE9"/>
    <w:rsid w:val="7715E2E5"/>
    <w:rsid w:val="77C6FC4C"/>
    <w:rsid w:val="77C79876"/>
    <w:rsid w:val="77D55B39"/>
    <w:rsid w:val="789B7026"/>
    <w:rsid w:val="78B345B0"/>
    <w:rsid w:val="79877B66"/>
    <w:rsid w:val="7988C34D"/>
    <w:rsid w:val="79A175CA"/>
    <w:rsid w:val="79D420D0"/>
    <w:rsid w:val="7B1842E5"/>
    <w:rsid w:val="7BDBF945"/>
    <w:rsid w:val="7D3A937F"/>
    <w:rsid w:val="7E244213"/>
    <w:rsid w:val="7F02AA37"/>
    <w:rsid w:val="7F5FB2DF"/>
    <w:rsid w:val="7FF3E05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2C77"/>
  <w15:chartTrackingRefBased/>
  <w15:docId w15:val="{FECA46FF-4C99-465D-9225-09FA8645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2"/>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3"/>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2"/>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9"/>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10"/>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1"/>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4"/>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5"/>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6"/>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8"/>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4813A9"/>
    <w:rPr>
      <w:u w:val="single"/>
    </w:rPr>
  </w:style>
  <w:style w:type="paragraph" w:customStyle="1" w:styleId="DocText">
    <w:name w:val="DocText"/>
    <w:basedOn w:val="Normln"/>
    <w:rsid w:val="004813A9"/>
    <w:pPr>
      <w:numPr>
        <w:numId w:val="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D12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 w:type="paragraph" w:styleId="Normlnweb">
    <w:name w:val="Normal (Web)"/>
    <w:basedOn w:val="Normln"/>
    <w:uiPriority w:val="99"/>
    <w:semiHidden/>
    <w:unhideWhenUsed/>
    <w:rsid w:val="00B86B2B"/>
    <w:rPr>
      <w:rFonts w:ascii="Times New Roman" w:hAnsi="Times New Roman"/>
      <w:sz w:val="24"/>
    </w:rPr>
  </w:style>
  <w:style w:type="table" w:styleId="Tabulkasmkou3">
    <w:name w:val="Grid Table 3"/>
    <w:basedOn w:val="Normlntabulka"/>
    <w:uiPriority w:val="48"/>
    <w:rsid w:val="009D10D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3107">
      <w:bodyDiv w:val="1"/>
      <w:marLeft w:val="0"/>
      <w:marRight w:val="0"/>
      <w:marTop w:val="0"/>
      <w:marBottom w:val="0"/>
      <w:divBdr>
        <w:top w:val="none" w:sz="0" w:space="0" w:color="auto"/>
        <w:left w:val="none" w:sz="0" w:space="0" w:color="auto"/>
        <w:bottom w:val="none" w:sz="0" w:space="0" w:color="auto"/>
        <w:right w:val="none" w:sz="0" w:space="0" w:color="auto"/>
      </w:divBdr>
    </w:div>
    <w:div w:id="49380266">
      <w:bodyDiv w:val="1"/>
      <w:marLeft w:val="0"/>
      <w:marRight w:val="0"/>
      <w:marTop w:val="0"/>
      <w:marBottom w:val="0"/>
      <w:divBdr>
        <w:top w:val="none" w:sz="0" w:space="0" w:color="auto"/>
        <w:left w:val="none" w:sz="0" w:space="0" w:color="auto"/>
        <w:bottom w:val="none" w:sz="0" w:space="0" w:color="auto"/>
        <w:right w:val="none" w:sz="0" w:space="0" w:color="auto"/>
      </w:divBdr>
    </w:div>
    <w:div w:id="55128756">
      <w:bodyDiv w:val="1"/>
      <w:marLeft w:val="0"/>
      <w:marRight w:val="0"/>
      <w:marTop w:val="0"/>
      <w:marBottom w:val="0"/>
      <w:divBdr>
        <w:top w:val="none" w:sz="0" w:space="0" w:color="auto"/>
        <w:left w:val="none" w:sz="0" w:space="0" w:color="auto"/>
        <w:bottom w:val="none" w:sz="0" w:space="0" w:color="auto"/>
        <w:right w:val="none" w:sz="0" w:space="0" w:color="auto"/>
      </w:divBdr>
    </w:div>
    <w:div w:id="77946018">
      <w:bodyDiv w:val="1"/>
      <w:marLeft w:val="0"/>
      <w:marRight w:val="0"/>
      <w:marTop w:val="0"/>
      <w:marBottom w:val="0"/>
      <w:divBdr>
        <w:top w:val="none" w:sz="0" w:space="0" w:color="auto"/>
        <w:left w:val="none" w:sz="0" w:space="0" w:color="auto"/>
        <w:bottom w:val="none" w:sz="0" w:space="0" w:color="auto"/>
        <w:right w:val="none" w:sz="0" w:space="0" w:color="auto"/>
      </w:divBdr>
    </w:div>
    <w:div w:id="364524282">
      <w:bodyDiv w:val="1"/>
      <w:marLeft w:val="0"/>
      <w:marRight w:val="0"/>
      <w:marTop w:val="0"/>
      <w:marBottom w:val="0"/>
      <w:divBdr>
        <w:top w:val="none" w:sz="0" w:space="0" w:color="auto"/>
        <w:left w:val="none" w:sz="0" w:space="0" w:color="auto"/>
        <w:bottom w:val="none" w:sz="0" w:space="0" w:color="auto"/>
        <w:right w:val="none" w:sz="0" w:space="0" w:color="auto"/>
      </w:divBdr>
    </w:div>
    <w:div w:id="460150359">
      <w:bodyDiv w:val="1"/>
      <w:marLeft w:val="0"/>
      <w:marRight w:val="0"/>
      <w:marTop w:val="0"/>
      <w:marBottom w:val="0"/>
      <w:divBdr>
        <w:top w:val="none" w:sz="0" w:space="0" w:color="auto"/>
        <w:left w:val="none" w:sz="0" w:space="0" w:color="auto"/>
        <w:bottom w:val="none" w:sz="0" w:space="0" w:color="auto"/>
        <w:right w:val="none" w:sz="0" w:space="0" w:color="auto"/>
      </w:divBdr>
    </w:div>
    <w:div w:id="517886029">
      <w:bodyDiv w:val="1"/>
      <w:marLeft w:val="0"/>
      <w:marRight w:val="0"/>
      <w:marTop w:val="0"/>
      <w:marBottom w:val="0"/>
      <w:divBdr>
        <w:top w:val="none" w:sz="0" w:space="0" w:color="auto"/>
        <w:left w:val="none" w:sz="0" w:space="0" w:color="auto"/>
        <w:bottom w:val="none" w:sz="0" w:space="0" w:color="auto"/>
        <w:right w:val="none" w:sz="0" w:space="0" w:color="auto"/>
      </w:divBdr>
    </w:div>
    <w:div w:id="903682775">
      <w:bodyDiv w:val="1"/>
      <w:marLeft w:val="0"/>
      <w:marRight w:val="0"/>
      <w:marTop w:val="0"/>
      <w:marBottom w:val="0"/>
      <w:divBdr>
        <w:top w:val="none" w:sz="0" w:space="0" w:color="auto"/>
        <w:left w:val="none" w:sz="0" w:space="0" w:color="auto"/>
        <w:bottom w:val="none" w:sz="0" w:space="0" w:color="auto"/>
        <w:right w:val="none" w:sz="0" w:space="0" w:color="auto"/>
      </w:divBdr>
    </w:div>
    <w:div w:id="1054427103">
      <w:bodyDiv w:val="1"/>
      <w:marLeft w:val="0"/>
      <w:marRight w:val="0"/>
      <w:marTop w:val="0"/>
      <w:marBottom w:val="0"/>
      <w:divBdr>
        <w:top w:val="none" w:sz="0" w:space="0" w:color="auto"/>
        <w:left w:val="none" w:sz="0" w:space="0" w:color="auto"/>
        <w:bottom w:val="none" w:sz="0" w:space="0" w:color="auto"/>
        <w:right w:val="none" w:sz="0" w:space="0" w:color="auto"/>
      </w:divBdr>
    </w:div>
    <w:div w:id="1173226463">
      <w:bodyDiv w:val="1"/>
      <w:marLeft w:val="0"/>
      <w:marRight w:val="0"/>
      <w:marTop w:val="0"/>
      <w:marBottom w:val="0"/>
      <w:divBdr>
        <w:top w:val="none" w:sz="0" w:space="0" w:color="auto"/>
        <w:left w:val="none" w:sz="0" w:space="0" w:color="auto"/>
        <w:bottom w:val="none" w:sz="0" w:space="0" w:color="auto"/>
        <w:right w:val="none" w:sz="0" w:space="0" w:color="auto"/>
      </w:divBdr>
    </w:div>
    <w:div w:id="1266309357">
      <w:bodyDiv w:val="1"/>
      <w:marLeft w:val="0"/>
      <w:marRight w:val="0"/>
      <w:marTop w:val="0"/>
      <w:marBottom w:val="0"/>
      <w:divBdr>
        <w:top w:val="none" w:sz="0" w:space="0" w:color="auto"/>
        <w:left w:val="none" w:sz="0" w:space="0" w:color="auto"/>
        <w:bottom w:val="none" w:sz="0" w:space="0" w:color="auto"/>
        <w:right w:val="none" w:sz="0" w:space="0" w:color="auto"/>
      </w:divBdr>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 w:id="1568564788">
      <w:bodyDiv w:val="1"/>
      <w:marLeft w:val="0"/>
      <w:marRight w:val="0"/>
      <w:marTop w:val="0"/>
      <w:marBottom w:val="0"/>
      <w:divBdr>
        <w:top w:val="none" w:sz="0" w:space="0" w:color="auto"/>
        <w:left w:val="none" w:sz="0" w:space="0" w:color="auto"/>
        <w:bottom w:val="none" w:sz="0" w:space="0" w:color="auto"/>
        <w:right w:val="none" w:sz="0" w:space="0" w:color="auto"/>
      </w:divBdr>
    </w:div>
    <w:div w:id="1663510022">
      <w:bodyDiv w:val="1"/>
      <w:marLeft w:val="0"/>
      <w:marRight w:val="0"/>
      <w:marTop w:val="0"/>
      <w:marBottom w:val="0"/>
      <w:divBdr>
        <w:top w:val="none" w:sz="0" w:space="0" w:color="auto"/>
        <w:left w:val="none" w:sz="0" w:space="0" w:color="auto"/>
        <w:bottom w:val="none" w:sz="0" w:space="0" w:color="auto"/>
        <w:right w:val="none" w:sz="0" w:space="0" w:color="auto"/>
      </w:divBdr>
    </w:div>
    <w:div w:id="1684817215">
      <w:bodyDiv w:val="1"/>
      <w:marLeft w:val="0"/>
      <w:marRight w:val="0"/>
      <w:marTop w:val="0"/>
      <w:marBottom w:val="0"/>
      <w:divBdr>
        <w:top w:val="none" w:sz="0" w:space="0" w:color="auto"/>
        <w:left w:val="none" w:sz="0" w:space="0" w:color="auto"/>
        <w:bottom w:val="none" w:sz="0" w:space="0" w:color="auto"/>
        <w:right w:val="none" w:sz="0" w:space="0" w:color="auto"/>
      </w:divBdr>
    </w:div>
    <w:div w:id="1703089831">
      <w:bodyDiv w:val="1"/>
      <w:marLeft w:val="0"/>
      <w:marRight w:val="0"/>
      <w:marTop w:val="0"/>
      <w:marBottom w:val="0"/>
      <w:divBdr>
        <w:top w:val="none" w:sz="0" w:space="0" w:color="auto"/>
        <w:left w:val="none" w:sz="0" w:space="0" w:color="auto"/>
        <w:bottom w:val="none" w:sz="0" w:space="0" w:color="auto"/>
        <w:right w:val="none" w:sz="0" w:space="0" w:color="auto"/>
      </w:divBdr>
    </w:div>
    <w:div w:id="1803689071">
      <w:bodyDiv w:val="1"/>
      <w:marLeft w:val="0"/>
      <w:marRight w:val="0"/>
      <w:marTop w:val="0"/>
      <w:marBottom w:val="0"/>
      <w:divBdr>
        <w:top w:val="none" w:sz="0" w:space="0" w:color="auto"/>
        <w:left w:val="none" w:sz="0" w:space="0" w:color="auto"/>
        <w:bottom w:val="none" w:sz="0" w:space="0" w:color="auto"/>
        <w:right w:val="none" w:sz="0" w:space="0" w:color="auto"/>
      </w:divBdr>
    </w:div>
    <w:div w:id="1939680582">
      <w:bodyDiv w:val="1"/>
      <w:marLeft w:val="0"/>
      <w:marRight w:val="0"/>
      <w:marTop w:val="0"/>
      <w:marBottom w:val="0"/>
      <w:divBdr>
        <w:top w:val="none" w:sz="0" w:space="0" w:color="auto"/>
        <w:left w:val="none" w:sz="0" w:space="0" w:color="auto"/>
        <w:bottom w:val="none" w:sz="0" w:space="0" w:color="auto"/>
        <w:right w:val="none" w:sz="0" w:space="0" w:color="auto"/>
      </w:divBdr>
    </w:div>
    <w:div w:id="214723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F924D-8709-4D2A-B8DE-1653B02D0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28</TotalTime>
  <Pages>8</Pages>
  <Words>2285</Words>
  <Characters>13486</Characters>
  <Application>Microsoft Office Word</Application>
  <DocSecurity>0</DocSecurity>
  <Lines>112</Lines>
  <Paragraphs>31</Paragraphs>
  <ScaleCrop>false</ScaleCrop>
  <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Švejcarová Simona</cp:lastModifiedBy>
  <cp:revision>27</cp:revision>
  <dcterms:created xsi:type="dcterms:W3CDTF">2026-05-20T21:43:00Z</dcterms:created>
  <dcterms:modified xsi:type="dcterms:W3CDTF">2026-05-21T05:12:00Z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