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B9D3" w14:textId="2B97A3DD" w:rsidR="00820C46" w:rsidRPr="0040724B" w:rsidRDefault="008013A1" w:rsidP="00820C46">
      <w:pPr>
        <w:spacing w:before="120" w:line="276" w:lineRule="auto"/>
        <w:jc w:val="right"/>
        <w:rPr>
          <w:rStyle w:val="Zdraznn"/>
          <w:caps/>
        </w:rPr>
      </w:pPr>
      <w:r>
        <w:rPr>
          <w:rStyle w:val="Zdraznn"/>
          <w:caps/>
        </w:rPr>
        <w:t>PRESS RELEASE</w:t>
      </w:r>
    </w:p>
    <w:p w14:paraId="158F201E" w14:textId="77777777" w:rsidR="009B7D0D" w:rsidRPr="0040724B" w:rsidRDefault="009B7D0D" w:rsidP="00820C46">
      <w:pPr>
        <w:spacing w:before="120" w:line="276" w:lineRule="auto"/>
        <w:jc w:val="right"/>
        <w:rPr>
          <w:rStyle w:val="Zdraznn"/>
          <w:caps/>
        </w:rPr>
      </w:pPr>
    </w:p>
    <w:p w14:paraId="792D775C" w14:textId="77777777" w:rsidR="009B7D0D" w:rsidRPr="0040724B" w:rsidRDefault="009B7D0D" w:rsidP="00820C46">
      <w:pPr>
        <w:spacing w:before="120" w:line="276" w:lineRule="auto"/>
        <w:jc w:val="right"/>
        <w:rPr>
          <w:rStyle w:val="Zdraznn"/>
          <w:caps/>
        </w:rPr>
      </w:pPr>
    </w:p>
    <w:p w14:paraId="62A2A34B" w14:textId="58EAC511" w:rsidR="00BD3D9F" w:rsidRPr="0040724B" w:rsidRDefault="00BE7D56" w:rsidP="5207FD54">
      <w:pPr>
        <w:spacing w:before="240" w:line="276" w:lineRule="auto"/>
        <w:jc w:val="center"/>
        <w:rPr>
          <w:rFonts w:cs="Arial"/>
          <w:b/>
          <w:bCs/>
          <w:kern w:val="28"/>
          <w:sz w:val="32"/>
          <w:szCs w:val="32"/>
        </w:rPr>
      </w:pPr>
      <w:r w:rsidRPr="0040724B">
        <w:rPr>
          <w:rFonts w:cs="Arial"/>
          <w:b/>
          <w:bCs/>
          <w:kern w:val="28"/>
          <w:sz w:val="32"/>
          <w:szCs w:val="32"/>
        </w:rPr>
        <w:t>Colt C</w:t>
      </w:r>
      <w:r w:rsidR="008B54FB" w:rsidRPr="0040724B">
        <w:rPr>
          <w:rFonts w:cs="Arial"/>
          <w:b/>
          <w:bCs/>
          <w:kern w:val="28"/>
          <w:sz w:val="32"/>
          <w:szCs w:val="32"/>
        </w:rPr>
        <w:t>Z</w:t>
      </w:r>
      <w:r w:rsidR="00BD3D9F" w:rsidRPr="0040724B">
        <w:rPr>
          <w:rFonts w:cs="Arial"/>
          <w:b/>
          <w:bCs/>
          <w:kern w:val="28"/>
          <w:sz w:val="32"/>
          <w:szCs w:val="32"/>
        </w:rPr>
        <w:t xml:space="preserve"> Group SE </w:t>
      </w:r>
      <w:r w:rsidR="00286327" w:rsidRPr="0040724B">
        <w:rPr>
          <w:rFonts w:cs="Arial"/>
          <w:b/>
          <w:bCs/>
          <w:kern w:val="28"/>
          <w:sz w:val="32"/>
          <w:szCs w:val="32"/>
        </w:rPr>
        <w:t xml:space="preserve">increased </w:t>
      </w:r>
      <w:r w:rsidR="00595667" w:rsidRPr="0040724B">
        <w:rPr>
          <w:rFonts w:cs="Arial"/>
          <w:b/>
          <w:bCs/>
          <w:kern w:val="28"/>
          <w:sz w:val="32"/>
          <w:szCs w:val="32"/>
        </w:rPr>
        <w:t xml:space="preserve">adjusted EBITDA by </w:t>
      </w:r>
      <w:r w:rsidR="001D1FCC" w:rsidRPr="0040724B">
        <w:rPr>
          <w:rFonts w:cs="Arial"/>
          <w:b/>
          <w:bCs/>
          <w:kern w:val="28"/>
          <w:sz w:val="32"/>
          <w:szCs w:val="32"/>
        </w:rPr>
        <w:t>72.1</w:t>
      </w:r>
      <w:r w:rsidR="00595667" w:rsidRPr="0040724B">
        <w:rPr>
          <w:rFonts w:cs="Arial"/>
          <w:b/>
          <w:bCs/>
          <w:kern w:val="28"/>
          <w:sz w:val="32"/>
          <w:szCs w:val="32"/>
        </w:rPr>
        <w:t>%</w:t>
      </w:r>
      <w:r w:rsidR="00820C46" w:rsidRPr="0040724B">
        <w:rPr>
          <w:rFonts w:cs="Arial"/>
          <w:b/>
          <w:bCs/>
          <w:kern w:val="28"/>
          <w:sz w:val="32"/>
          <w:szCs w:val="32"/>
        </w:rPr>
        <w:t xml:space="preserve"> </w:t>
      </w:r>
      <w:r w:rsidR="00286327" w:rsidRPr="0040724B">
        <w:rPr>
          <w:rFonts w:cs="Arial"/>
          <w:b/>
          <w:bCs/>
          <w:sz w:val="32"/>
          <w:szCs w:val="32"/>
        </w:rPr>
        <w:t>to</w:t>
      </w:r>
      <w:r w:rsidR="00820C46" w:rsidRPr="0040724B">
        <w:rPr>
          <w:rFonts w:cs="Arial"/>
          <w:b/>
          <w:bCs/>
          <w:sz w:val="32"/>
          <w:szCs w:val="32"/>
        </w:rPr>
        <w:t xml:space="preserve"> CZK </w:t>
      </w:r>
      <w:r w:rsidR="001D1FCC" w:rsidRPr="0040724B">
        <w:rPr>
          <w:rFonts w:cs="Arial"/>
          <w:b/>
          <w:bCs/>
          <w:sz w:val="32"/>
          <w:szCs w:val="32"/>
        </w:rPr>
        <w:t xml:space="preserve">2.1 </w:t>
      </w:r>
      <w:r w:rsidR="00820C46" w:rsidRPr="0040724B">
        <w:rPr>
          <w:rFonts w:cs="Arial"/>
          <w:b/>
          <w:bCs/>
          <w:sz w:val="32"/>
          <w:szCs w:val="32"/>
        </w:rPr>
        <w:t xml:space="preserve">billion </w:t>
      </w:r>
      <w:r w:rsidR="00595667" w:rsidRPr="0040724B">
        <w:rPr>
          <w:rFonts w:cs="Arial"/>
          <w:b/>
          <w:bCs/>
          <w:sz w:val="32"/>
          <w:szCs w:val="32"/>
        </w:rPr>
        <w:t>in the first quarter of 202</w:t>
      </w:r>
      <w:r w:rsidR="001D1FCC" w:rsidRPr="0040724B">
        <w:rPr>
          <w:rFonts w:cs="Arial"/>
          <w:b/>
          <w:bCs/>
          <w:sz w:val="32"/>
          <w:szCs w:val="32"/>
        </w:rPr>
        <w:t>6</w:t>
      </w:r>
      <w:r w:rsidR="002B40E5" w:rsidRPr="0040724B">
        <w:rPr>
          <w:rFonts w:cs="Arial"/>
          <w:b/>
          <w:bCs/>
          <w:sz w:val="32"/>
          <w:szCs w:val="32"/>
        </w:rPr>
        <w:t xml:space="preserve"> </w:t>
      </w:r>
    </w:p>
    <w:p w14:paraId="4EA0AB1F" w14:textId="77777777" w:rsidR="008F385E" w:rsidRDefault="008F385E" w:rsidP="00BD3D9F">
      <w:pPr>
        <w:autoSpaceDE w:val="0"/>
        <w:autoSpaceDN w:val="0"/>
        <w:adjustRightInd w:val="0"/>
        <w:spacing w:before="120" w:line="276" w:lineRule="auto"/>
        <w:rPr>
          <w:rFonts w:cs="Calibri"/>
          <w:bCs/>
          <w:color w:val="000000" w:themeColor="text1"/>
          <w:szCs w:val="20"/>
        </w:rPr>
      </w:pPr>
    </w:p>
    <w:p w14:paraId="72BB7C7F" w14:textId="77777777" w:rsidR="0093185B" w:rsidRPr="0093185B" w:rsidRDefault="0093185B" w:rsidP="00BD3D9F">
      <w:pPr>
        <w:autoSpaceDE w:val="0"/>
        <w:autoSpaceDN w:val="0"/>
        <w:adjustRightInd w:val="0"/>
        <w:spacing w:before="120" w:line="276" w:lineRule="auto"/>
        <w:rPr>
          <w:rFonts w:cs="Calibri"/>
          <w:bCs/>
          <w:color w:val="000000" w:themeColor="text1"/>
          <w:szCs w:val="20"/>
        </w:rPr>
      </w:pPr>
    </w:p>
    <w:p w14:paraId="20D34D06" w14:textId="4797DF32" w:rsidR="00250951" w:rsidRPr="0040724B" w:rsidRDefault="00820C46" w:rsidP="00250951">
      <w:pPr>
        <w:autoSpaceDE w:val="0"/>
        <w:autoSpaceDN w:val="0"/>
        <w:adjustRightInd w:val="0"/>
        <w:spacing w:before="120" w:line="276" w:lineRule="auto"/>
        <w:rPr>
          <w:rFonts w:cs="Calibri"/>
          <w:color w:val="000000" w:themeColor="text1"/>
          <w:szCs w:val="20"/>
        </w:rPr>
      </w:pPr>
      <w:r w:rsidRPr="0040724B">
        <w:rPr>
          <w:rFonts w:cs="Calibri"/>
          <w:b/>
          <w:color w:val="000000" w:themeColor="text1"/>
          <w:szCs w:val="20"/>
        </w:rPr>
        <w:t>Prague (</w:t>
      </w:r>
      <w:r w:rsidR="00595667" w:rsidRPr="0040724B">
        <w:rPr>
          <w:rFonts w:cs="Calibri"/>
          <w:b/>
          <w:color w:val="000000" w:themeColor="text1"/>
          <w:szCs w:val="20"/>
        </w:rPr>
        <w:t>May</w:t>
      </w:r>
      <w:r w:rsidR="00C97258" w:rsidRPr="0040724B">
        <w:rPr>
          <w:rFonts w:cs="Calibri"/>
          <w:b/>
          <w:color w:val="000000" w:themeColor="text1"/>
          <w:szCs w:val="20"/>
        </w:rPr>
        <w:t xml:space="preserve"> </w:t>
      </w:r>
      <w:r w:rsidR="00595667" w:rsidRPr="0040724B">
        <w:rPr>
          <w:rFonts w:cs="Calibri"/>
          <w:b/>
          <w:color w:val="000000" w:themeColor="text1"/>
          <w:szCs w:val="20"/>
        </w:rPr>
        <w:t>2</w:t>
      </w:r>
      <w:r w:rsidR="001D1FCC" w:rsidRPr="0040724B">
        <w:rPr>
          <w:rFonts w:cs="Calibri"/>
          <w:b/>
          <w:color w:val="000000" w:themeColor="text1"/>
          <w:szCs w:val="20"/>
        </w:rPr>
        <w:t>1</w:t>
      </w:r>
      <w:r w:rsidR="00C97258" w:rsidRPr="0040724B">
        <w:rPr>
          <w:rFonts w:cs="Calibri"/>
          <w:b/>
          <w:color w:val="000000" w:themeColor="text1"/>
          <w:szCs w:val="20"/>
        </w:rPr>
        <w:t>,</w:t>
      </w:r>
      <w:r w:rsidRPr="0040724B">
        <w:rPr>
          <w:rFonts w:cs="Calibri"/>
          <w:b/>
          <w:color w:val="000000" w:themeColor="text1"/>
          <w:szCs w:val="20"/>
        </w:rPr>
        <w:t xml:space="preserve"> 202</w:t>
      </w:r>
      <w:r w:rsidR="001D1FCC" w:rsidRPr="0040724B">
        <w:rPr>
          <w:rFonts w:cs="Calibri"/>
          <w:b/>
          <w:color w:val="000000" w:themeColor="text1"/>
          <w:szCs w:val="20"/>
        </w:rPr>
        <w:t>6</w:t>
      </w:r>
      <w:r w:rsidRPr="0040724B">
        <w:rPr>
          <w:rFonts w:cs="Calibri"/>
          <w:b/>
          <w:color w:val="000000" w:themeColor="text1"/>
          <w:szCs w:val="20"/>
        </w:rPr>
        <w:t>)</w:t>
      </w:r>
      <w:r w:rsidRPr="0040724B">
        <w:rPr>
          <w:rFonts w:cs="Calibri"/>
          <w:color w:val="000000" w:themeColor="text1"/>
          <w:szCs w:val="20"/>
        </w:rPr>
        <w:t xml:space="preserve"> ― Colt CZ Group SE (“Colt CZ</w:t>
      </w:r>
      <w:r w:rsidR="004D3CAE" w:rsidRPr="0040724B">
        <w:rPr>
          <w:rFonts w:cs="Calibri"/>
          <w:color w:val="000000" w:themeColor="text1"/>
          <w:szCs w:val="20"/>
        </w:rPr>
        <w:t>”</w:t>
      </w:r>
      <w:r w:rsidRPr="0040724B">
        <w:rPr>
          <w:rFonts w:cs="Calibri"/>
          <w:color w:val="000000" w:themeColor="text1"/>
          <w:szCs w:val="20"/>
        </w:rPr>
        <w:t xml:space="preserve">, the “Group” or the “Company”) today announced its </w:t>
      </w:r>
      <w:r w:rsidR="00595667" w:rsidRPr="0040724B">
        <w:rPr>
          <w:rFonts w:cs="Calibri"/>
          <w:color w:val="000000" w:themeColor="text1"/>
          <w:szCs w:val="20"/>
        </w:rPr>
        <w:t>consolidated unaudited financial results for the first three months of 202</w:t>
      </w:r>
      <w:r w:rsidR="001D1FCC" w:rsidRPr="0040724B">
        <w:rPr>
          <w:rFonts w:cs="Calibri"/>
          <w:color w:val="000000" w:themeColor="text1"/>
          <w:szCs w:val="20"/>
        </w:rPr>
        <w:t>6</w:t>
      </w:r>
      <w:r w:rsidR="00595667" w:rsidRPr="0040724B">
        <w:rPr>
          <w:rFonts w:cs="Calibri"/>
          <w:color w:val="000000" w:themeColor="text1"/>
          <w:szCs w:val="20"/>
        </w:rPr>
        <w:t xml:space="preserve"> ending March 31.</w:t>
      </w:r>
    </w:p>
    <w:p w14:paraId="1C19A4C7" w14:textId="2C8A70BC" w:rsidR="00595667" w:rsidRPr="0040724B" w:rsidRDefault="00595667" w:rsidP="00595667">
      <w:pPr>
        <w:pStyle w:val="Odrazka1"/>
        <w:numPr>
          <w:ilvl w:val="0"/>
          <w:numId w:val="0"/>
        </w:numPr>
        <w:rPr>
          <w:rFonts w:eastAsia="Montserrat Light"/>
        </w:rPr>
      </w:pPr>
      <w:r w:rsidRPr="0040724B">
        <w:rPr>
          <w:b/>
          <w:bCs/>
        </w:rPr>
        <w:t>Q1 202</w:t>
      </w:r>
      <w:r w:rsidR="001D1FCC" w:rsidRPr="0040724B">
        <w:rPr>
          <w:b/>
          <w:bCs/>
        </w:rPr>
        <w:t>6</w:t>
      </w:r>
      <w:r w:rsidRPr="0040724B">
        <w:rPr>
          <w:b/>
          <w:bCs/>
        </w:rPr>
        <w:t xml:space="preserve"> Financial Highlights:</w:t>
      </w:r>
    </w:p>
    <w:p w14:paraId="43325712" w14:textId="7D4C7538" w:rsidR="001D1FCC" w:rsidRPr="0040724B" w:rsidRDefault="001D1FCC" w:rsidP="00820C46">
      <w:pPr>
        <w:pStyle w:val="Odrazka1"/>
        <w:rPr>
          <w:rFonts w:eastAsia="Montserrat Light"/>
        </w:rPr>
      </w:pPr>
      <w:r w:rsidRPr="0040724B">
        <w:rPr>
          <w:rFonts w:eastAsia="Montserrat Light"/>
        </w:rPr>
        <w:t>The Group’s revenues for the first three months of 2026 reached CZK 7.3 billion, representing a year-on-year increase of 32.7%. This result is a combination of organic growth and the consolidation of the new energetic</w:t>
      </w:r>
      <w:r w:rsidR="00C547BC">
        <w:rPr>
          <w:rFonts w:eastAsia="Montserrat Light"/>
        </w:rPr>
        <w:t>s</w:t>
      </w:r>
      <w:r w:rsidRPr="0040724B">
        <w:rPr>
          <w:rFonts w:eastAsia="Montserrat Light"/>
        </w:rPr>
        <w:t xml:space="preserve"> segment following the acquisition of Synthesia Nitrocellulose and Synthesia Power.</w:t>
      </w:r>
    </w:p>
    <w:p w14:paraId="608EF968" w14:textId="7939D12A" w:rsidR="00820C46" w:rsidRPr="0040724B" w:rsidRDefault="00596ED3" w:rsidP="00820C46">
      <w:pPr>
        <w:pStyle w:val="Odrazka1"/>
        <w:rPr>
          <w:rFonts w:eastAsia="Montserrat Light"/>
        </w:rPr>
      </w:pPr>
      <w:r w:rsidRPr="0040724B">
        <w:rPr>
          <w:w w:val="0"/>
        </w:rPr>
        <w:t>A</w:t>
      </w:r>
      <w:r w:rsidR="00E62002" w:rsidRPr="0040724B">
        <w:rPr>
          <w:w w:val="0"/>
        </w:rPr>
        <w:t xml:space="preserve">djusted </w:t>
      </w:r>
      <w:r w:rsidR="00820C46" w:rsidRPr="0040724B">
        <w:rPr>
          <w:w w:val="0"/>
        </w:rPr>
        <w:t>EBITDA</w:t>
      </w:r>
      <w:r w:rsidR="008051EA" w:rsidRPr="0040724B">
        <w:rPr>
          <w:rStyle w:val="Znakapoznpodarou"/>
          <w:w w:val="0"/>
        </w:rPr>
        <w:footnoteReference w:id="2"/>
      </w:r>
      <w:r w:rsidR="00820C46" w:rsidRPr="0040724B">
        <w:rPr>
          <w:w w:val="0"/>
        </w:rPr>
        <w:t xml:space="preserve"> </w:t>
      </w:r>
      <w:r w:rsidR="001D1FCC" w:rsidRPr="0040724B">
        <w:rPr>
          <w:w w:val="0"/>
        </w:rPr>
        <w:t>net of extraordinary items reached CZK 2.1 billion, which is 72.1% higher than in the same period in 2025. The increase is related to strong profitability primarily in the ammunition and energetic</w:t>
      </w:r>
      <w:r w:rsidR="00FB3D93">
        <w:rPr>
          <w:w w:val="0"/>
        </w:rPr>
        <w:t>s</w:t>
      </w:r>
      <w:r w:rsidR="001D1FCC" w:rsidRPr="0040724B">
        <w:rPr>
          <w:w w:val="0"/>
        </w:rPr>
        <w:t xml:space="preserve"> segments.</w:t>
      </w:r>
    </w:p>
    <w:p w14:paraId="2FED38EE" w14:textId="329F80C2" w:rsidR="00B41DC4" w:rsidRPr="0040724B" w:rsidRDefault="00834525" w:rsidP="003D4AFF">
      <w:pPr>
        <w:pStyle w:val="Odrazka1"/>
        <w:ind w:left="993" w:hanging="426"/>
        <w:rPr>
          <w:rFonts w:eastAsia="Montserrat Light"/>
        </w:rPr>
      </w:pPr>
      <w:r w:rsidRPr="0040724B">
        <w:rPr>
          <w:rFonts w:eastAsia="Montserrat Light"/>
        </w:rPr>
        <w:t>A</w:t>
      </w:r>
      <w:r w:rsidR="00B41DC4" w:rsidRPr="0040724B">
        <w:rPr>
          <w:rFonts w:eastAsia="Montserrat Light"/>
        </w:rPr>
        <w:t>djusted net profit</w:t>
      </w:r>
      <w:r w:rsidR="00CB54A2" w:rsidRPr="0040724B">
        <w:rPr>
          <w:rFonts w:eastAsia="Montserrat Light"/>
          <w:vertAlign w:val="superscript"/>
        </w:rPr>
        <w:t>1</w:t>
      </w:r>
      <w:r w:rsidR="00B41DC4" w:rsidRPr="0040724B">
        <w:rPr>
          <w:rFonts w:eastAsia="Montserrat Light"/>
        </w:rPr>
        <w:t xml:space="preserve"> after tax </w:t>
      </w:r>
      <w:r w:rsidR="001D1FCC" w:rsidRPr="0040724B">
        <w:rPr>
          <w:rFonts w:eastAsia="Montserrat Light"/>
        </w:rPr>
        <w:t>for Q1 2026 reached CZK 950.6 million, which is 73.9% higher than in the same period in 2025.</w:t>
      </w:r>
    </w:p>
    <w:p w14:paraId="11677D4B" w14:textId="3A1A20C9" w:rsidR="00CE2BB7" w:rsidRPr="0040724B" w:rsidRDefault="00CE2BB7" w:rsidP="001D1FCC">
      <w:pPr>
        <w:pStyle w:val="p1"/>
        <w:spacing w:before="240"/>
        <w:jc w:val="both"/>
        <w:divId w:val="1568876253"/>
        <w:rPr>
          <w:rFonts w:ascii="Atyp Colt CZ" w:hAnsi="Atyp Colt CZ" w:cs="Calibri"/>
          <w:i/>
          <w:iCs/>
          <w:color w:val="000000" w:themeColor="text1"/>
          <w:sz w:val="20"/>
          <w:szCs w:val="20"/>
        </w:rPr>
      </w:pPr>
      <w:bookmarkStart w:id="0" w:name="_Hlk104223647"/>
      <w:r w:rsidRPr="0040724B">
        <w:rPr>
          <w:rFonts w:ascii="Atyp Colt CZ" w:hAnsi="Atyp Colt CZ" w:cs="Calibri"/>
          <w:i/>
          <w:iCs/>
          <w:color w:val="000000" w:themeColor="text1"/>
          <w:sz w:val="20"/>
          <w:szCs w:val="20"/>
        </w:rPr>
        <w:t>“</w:t>
      </w:r>
      <w:r w:rsidR="00FD3ACC" w:rsidRPr="0040724B">
        <w:rPr>
          <w:rFonts w:ascii="Atyp Colt CZ" w:hAnsi="Atyp Colt CZ" w:cs="Calibri"/>
          <w:i/>
          <w:iCs/>
          <w:color w:val="000000" w:themeColor="text1"/>
          <w:sz w:val="20"/>
          <w:szCs w:val="20"/>
        </w:rPr>
        <w:t xml:space="preserve">The first quarter of 2026 </w:t>
      </w:r>
      <w:r w:rsidRPr="0040724B">
        <w:rPr>
          <w:rFonts w:ascii="Atyp Colt CZ" w:hAnsi="Atyp Colt CZ" w:cs="Calibri"/>
          <w:i/>
          <w:iCs/>
          <w:color w:val="000000" w:themeColor="text1"/>
          <w:sz w:val="20"/>
          <w:szCs w:val="20"/>
        </w:rPr>
        <w:t xml:space="preserve">confirmed the strength of our diversified business model and the </w:t>
      </w:r>
      <w:r w:rsidR="003839CF" w:rsidRPr="0040724B">
        <w:rPr>
          <w:rFonts w:ascii="Atyp Colt CZ" w:hAnsi="Atyp Colt CZ" w:cs="Calibri"/>
          <w:i/>
          <w:iCs/>
          <w:color w:val="000000" w:themeColor="text1"/>
          <w:sz w:val="20"/>
          <w:szCs w:val="20"/>
        </w:rPr>
        <w:t>relevance</w:t>
      </w:r>
      <w:r w:rsidRPr="0040724B">
        <w:rPr>
          <w:rFonts w:ascii="Atyp Colt CZ" w:hAnsi="Atyp Colt CZ" w:cs="Calibri"/>
          <w:i/>
          <w:iCs/>
          <w:color w:val="000000" w:themeColor="text1"/>
          <w:sz w:val="20"/>
          <w:szCs w:val="20"/>
        </w:rPr>
        <w:t xml:space="preserve"> of the Group’s strategic direction. We achieved the best first-quarter results in our history, both in terms of revenues and profitability. In addition to the strong performance of the traditional firearms and ammunition segments, the new energetic</w:t>
      </w:r>
      <w:r w:rsidR="00C547BC">
        <w:rPr>
          <w:rFonts w:ascii="Atyp Colt CZ" w:hAnsi="Atyp Colt CZ" w:cs="Calibri"/>
          <w:i/>
          <w:iCs/>
          <w:color w:val="000000" w:themeColor="text1"/>
          <w:sz w:val="20"/>
          <w:szCs w:val="20"/>
        </w:rPr>
        <w:t>s</w:t>
      </w:r>
      <w:r w:rsidRPr="0040724B">
        <w:rPr>
          <w:rFonts w:ascii="Atyp Colt CZ" w:hAnsi="Atyp Colt CZ" w:cs="Calibri"/>
          <w:i/>
          <w:iCs/>
          <w:color w:val="000000" w:themeColor="text1"/>
          <w:sz w:val="20"/>
          <w:szCs w:val="20"/>
        </w:rPr>
        <w:t xml:space="preserve"> segment also made a significant contribution to the results, becoming one of the key pillars of our future growth. For the remainder of the year, the successful completion of strategic tenders, continued emphasis on operational efficiency, and </w:t>
      </w:r>
      <w:r w:rsidR="000B113A" w:rsidRPr="0040724B">
        <w:rPr>
          <w:rFonts w:ascii="Atyp Colt CZ" w:hAnsi="Atyp Colt CZ" w:cs="Calibri"/>
          <w:i/>
          <w:iCs/>
          <w:color w:val="000000" w:themeColor="text1"/>
          <w:sz w:val="20"/>
          <w:szCs w:val="20"/>
        </w:rPr>
        <w:t xml:space="preserve">further strengthening of our position in </w:t>
      </w:r>
      <w:r w:rsidRPr="0040724B">
        <w:rPr>
          <w:rFonts w:ascii="Atyp Colt CZ" w:hAnsi="Atyp Colt CZ" w:cs="Calibri"/>
          <w:i/>
          <w:iCs/>
          <w:color w:val="000000" w:themeColor="text1"/>
          <w:sz w:val="20"/>
          <w:szCs w:val="20"/>
        </w:rPr>
        <w:t xml:space="preserve">both European and non-European markets will be </w:t>
      </w:r>
      <w:r w:rsidR="000B113A" w:rsidRPr="0040724B">
        <w:rPr>
          <w:rFonts w:ascii="Atyp Colt CZ" w:hAnsi="Atyp Colt CZ" w:cs="Calibri"/>
          <w:i/>
          <w:iCs/>
          <w:color w:val="000000" w:themeColor="text1"/>
          <w:sz w:val="20"/>
          <w:szCs w:val="20"/>
        </w:rPr>
        <w:t>key</w:t>
      </w:r>
      <w:r w:rsidRPr="0040724B">
        <w:rPr>
          <w:rFonts w:ascii="Atyp Colt CZ" w:hAnsi="Atyp Colt CZ" w:cs="Calibri"/>
          <w:i/>
          <w:iCs/>
          <w:color w:val="000000" w:themeColor="text1"/>
          <w:sz w:val="20"/>
          <w:szCs w:val="20"/>
        </w:rPr>
        <w:t xml:space="preserve">,” </w:t>
      </w:r>
      <w:r w:rsidRPr="00DD2544">
        <w:rPr>
          <w:rFonts w:ascii="Atyp Colt CZ" w:hAnsi="Atyp Colt CZ" w:cs="Calibri"/>
          <w:color w:val="000000" w:themeColor="text1"/>
          <w:sz w:val="20"/>
          <w:szCs w:val="20"/>
        </w:rPr>
        <w:t xml:space="preserve">said </w:t>
      </w:r>
      <w:r w:rsidRPr="0040724B">
        <w:rPr>
          <w:rFonts w:ascii="Atyp Colt CZ" w:hAnsi="Atyp Colt CZ" w:cs="Calibri"/>
          <w:b/>
          <w:bCs/>
          <w:color w:val="000000" w:themeColor="text1"/>
          <w:sz w:val="20"/>
          <w:szCs w:val="20"/>
        </w:rPr>
        <w:t>Radek Musil, CEO of Colt CZ Group</w:t>
      </w:r>
      <w:r w:rsidRPr="0040724B">
        <w:rPr>
          <w:rFonts w:ascii="Atyp Colt CZ" w:hAnsi="Atyp Colt CZ" w:cs="Calibri"/>
          <w:i/>
          <w:iCs/>
          <w:color w:val="000000" w:themeColor="text1"/>
          <w:sz w:val="20"/>
          <w:szCs w:val="20"/>
        </w:rPr>
        <w:t>.</w:t>
      </w:r>
    </w:p>
    <w:p w14:paraId="2FAA788B" w14:textId="710994A4" w:rsidR="001D1FCC" w:rsidRPr="0040724B" w:rsidRDefault="000575CB" w:rsidP="001D1FCC">
      <w:pPr>
        <w:pStyle w:val="p1"/>
        <w:spacing w:before="240" w:after="180"/>
        <w:jc w:val="both"/>
        <w:divId w:val="1568876253"/>
        <w:rPr>
          <w:rFonts w:ascii="Atyp Colt CZ" w:hAnsi="Atyp Colt CZ" w:cs="Calibri"/>
          <w:i/>
          <w:iCs/>
          <w:color w:val="000000" w:themeColor="text1"/>
          <w:sz w:val="20"/>
          <w:szCs w:val="20"/>
        </w:rPr>
      </w:pPr>
      <w:r w:rsidRPr="0040724B">
        <w:rPr>
          <w:rFonts w:ascii="Atyp Colt CZ" w:hAnsi="Atyp Colt CZ" w:cs="Calibri"/>
          <w:i/>
          <w:iCs/>
          <w:color w:val="000000" w:themeColor="text1"/>
          <w:sz w:val="20"/>
          <w:szCs w:val="20"/>
        </w:rPr>
        <w:t>“The record results also come shortly after the successful completion of the dual listing on the Euronext Amsterdam, which strengthened our position among internationally publicly traded companies</w:t>
      </w:r>
      <w:r w:rsidR="0032761A" w:rsidRPr="0040724B">
        <w:rPr>
          <w:rFonts w:ascii="Atyp Colt CZ" w:hAnsi="Atyp Colt CZ" w:cs="Calibri"/>
          <w:i/>
          <w:iCs/>
          <w:color w:val="000000" w:themeColor="text1"/>
          <w:sz w:val="20"/>
          <w:szCs w:val="20"/>
        </w:rPr>
        <w:t>,</w:t>
      </w:r>
      <w:r w:rsidR="001D1FCC" w:rsidRPr="0040724B">
        <w:rPr>
          <w:rFonts w:ascii="Atyp Colt CZ" w:hAnsi="Atyp Colt CZ" w:cs="Calibri"/>
          <w:i/>
          <w:iCs/>
          <w:color w:val="000000" w:themeColor="text1"/>
          <w:sz w:val="20"/>
          <w:szCs w:val="20"/>
        </w:rPr>
        <w:t xml:space="preserve">” </w:t>
      </w:r>
      <w:r w:rsidR="001D1FCC" w:rsidRPr="00920A77">
        <w:rPr>
          <w:rFonts w:ascii="Atyp Colt CZ" w:hAnsi="Atyp Colt CZ" w:cs="Calibri"/>
          <w:color w:val="000000" w:themeColor="text1"/>
          <w:sz w:val="20"/>
          <w:szCs w:val="20"/>
        </w:rPr>
        <w:t xml:space="preserve">added </w:t>
      </w:r>
      <w:r w:rsidR="001D1FCC" w:rsidRPr="0040724B">
        <w:rPr>
          <w:rFonts w:ascii="Atyp Colt CZ" w:hAnsi="Atyp Colt CZ" w:cs="Calibri"/>
          <w:b/>
          <w:bCs/>
          <w:color w:val="000000" w:themeColor="text1"/>
          <w:sz w:val="20"/>
          <w:szCs w:val="20"/>
        </w:rPr>
        <w:t>Radek Musil</w:t>
      </w:r>
      <w:r w:rsidR="001D1FCC" w:rsidRPr="0040724B">
        <w:rPr>
          <w:rFonts w:ascii="Atyp Colt CZ" w:hAnsi="Atyp Colt CZ" w:cs="Calibri"/>
          <w:color w:val="000000" w:themeColor="text1"/>
          <w:sz w:val="20"/>
          <w:szCs w:val="20"/>
        </w:rPr>
        <w:t>.</w:t>
      </w:r>
    </w:p>
    <w:bookmarkEnd w:id="0"/>
    <w:p w14:paraId="4DE8482F" w14:textId="77777777" w:rsidR="001D1FCC" w:rsidRPr="0040724B" w:rsidRDefault="001D1FCC" w:rsidP="6EF18013">
      <w:pPr>
        <w:autoSpaceDE w:val="0"/>
        <w:autoSpaceDN w:val="0"/>
        <w:adjustRightInd w:val="0"/>
        <w:spacing w:before="120" w:line="276" w:lineRule="auto"/>
        <w:rPr>
          <w:rFonts w:eastAsiaTheme="minorEastAsia" w:cstheme="minorHAnsi"/>
          <w:b/>
          <w:bCs/>
          <w:szCs w:val="20"/>
        </w:rPr>
      </w:pPr>
      <w:r w:rsidRPr="0040724B">
        <w:rPr>
          <w:rFonts w:eastAsiaTheme="minorEastAsia" w:cstheme="minorHAnsi"/>
          <w:b/>
          <w:bCs/>
          <w:szCs w:val="20"/>
        </w:rPr>
        <w:t>Revenues and Geographic Breakdown</w:t>
      </w:r>
    </w:p>
    <w:p w14:paraId="7B5CB373" w14:textId="1768817C" w:rsidR="001D1FCC" w:rsidRPr="0040724B" w:rsidRDefault="001D1FCC" w:rsidP="53490834">
      <w:pPr>
        <w:autoSpaceDE w:val="0"/>
        <w:autoSpaceDN w:val="0"/>
        <w:adjustRightInd w:val="0"/>
        <w:spacing w:before="120" w:line="276" w:lineRule="auto"/>
        <w:rPr>
          <w:rFonts w:eastAsiaTheme="minorEastAsia" w:cs="Calibri"/>
          <w:szCs w:val="20"/>
        </w:rPr>
      </w:pPr>
      <w:r w:rsidRPr="0040724B">
        <w:rPr>
          <w:rFonts w:eastAsiaTheme="minorEastAsia" w:cs="Calibri"/>
          <w:szCs w:val="20"/>
        </w:rPr>
        <w:t>Compared with the results as of March 31, 2025, the Group’s revenues for the first three months of 2026 increased by 32.7% to CZK 7.3 billion. This result is a combination of organic growth in the original segments and consolidation of revenues from the energetic</w:t>
      </w:r>
      <w:r w:rsidR="00D90D1E">
        <w:rPr>
          <w:rFonts w:eastAsiaTheme="minorEastAsia" w:cs="Calibri"/>
          <w:szCs w:val="20"/>
        </w:rPr>
        <w:t>s</w:t>
      </w:r>
      <w:r w:rsidRPr="0040724B">
        <w:rPr>
          <w:rFonts w:eastAsiaTheme="minorEastAsia" w:cs="Calibri"/>
          <w:szCs w:val="20"/>
        </w:rPr>
        <w:t xml:space="preserve"> segment </w:t>
      </w:r>
      <w:r w:rsidRPr="0040724B">
        <w:rPr>
          <w:rFonts w:eastAsiaTheme="minorEastAsia" w:cs="Calibri"/>
          <w:szCs w:val="20"/>
        </w:rPr>
        <w:lastRenderedPageBreak/>
        <w:t xml:space="preserve">following the acquisition of Synthesia Nitrocellulose and Synthesia Power. The increase in sales was recorded especially </w:t>
      </w:r>
      <w:r w:rsidR="001F46AC">
        <w:rPr>
          <w:rFonts w:eastAsiaTheme="minorEastAsia" w:cs="Calibri"/>
          <w:szCs w:val="20"/>
        </w:rPr>
        <w:t>with</w:t>
      </w:r>
      <w:r w:rsidRPr="0040724B">
        <w:rPr>
          <w:rFonts w:eastAsiaTheme="minorEastAsia" w:cs="Calibri"/>
          <w:szCs w:val="20"/>
        </w:rPr>
        <w:t xml:space="preserve"> the military and law enforcement </w:t>
      </w:r>
      <w:r w:rsidR="001F46AC">
        <w:rPr>
          <w:rFonts w:eastAsiaTheme="minorEastAsia" w:cs="Calibri"/>
          <w:szCs w:val="20"/>
        </w:rPr>
        <w:t>customers</w:t>
      </w:r>
      <w:r w:rsidRPr="0040724B">
        <w:rPr>
          <w:rFonts w:eastAsiaTheme="minorEastAsia" w:cs="Calibri"/>
          <w:szCs w:val="20"/>
        </w:rPr>
        <w:t>. The continued strengthening of the Czech koruna against the USD and EUR also affected the revenues</w:t>
      </w:r>
      <w:r w:rsidR="006B39DA" w:rsidRPr="0040724B">
        <w:rPr>
          <w:rFonts w:eastAsiaTheme="minorEastAsia" w:cs="Calibri"/>
          <w:szCs w:val="20"/>
        </w:rPr>
        <w:t xml:space="preserve"> negatively</w:t>
      </w:r>
      <w:r w:rsidRPr="0040724B">
        <w:rPr>
          <w:rFonts w:eastAsiaTheme="minorEastAsia" w:cs="Calibri"/>
          <w:szCs w:val="20"/>
        </w:rPr>
        <w:t>.</w:t>
      </w:r>
    </w:p>
    <w:p w14:paraId="2772B3A3" w14:textId="6221EFB8" w:rsidR="001D1FCC" w:rsidRPr="0040724B" w:rsidRDefault="001D1FCC" w:rsidP="53490834">
      <w:pPr>
        <w:autoSpaceDE w:val="0"/>
        <w:autoSpaceDN w:val="0"/>
        <w:adjustRightInd w:val="0"/>
        <w:spacing w:before="120" w:line="276" w:lineRule="auto"/>
        <w:rPr>
          <w:rFonts w:eastAsiaTheme="minorEastAsia" w:cs="Calibri"/>
          <w:szCs w:val="20"/>
        </w:rPr>
      </w:pPr>
      <w:r w:rsidRPr="0040724B">
        <w:rPr>
          <w:rFonts w:eastAsiaTheme="minorEastAsia" w:cs="Calibri"/>
          <w:szCs w:val="20"/>
        </w:rPr>
        <w:t>Revenues generated in the Czech Republic in the first three months of 2026 increased by 96.7% to CZK 1.0 billion, mainly due to the consolidation of the new energetic</w:t>
      </w:r>
      <w:r w:rsidR="00D90D1E">
        <w:rPr>
          <w:rFonts w:eastAsiaTheme="minorEastAsia" w:cs="Calibri"/>
          <w:szCs w:val="20"/>
        </w:rPr>
        <w:t>s</w:t>
      </w:r>
      <w:r w:rsidRPr="0040724B">
        <w:rPr>
          <w:rFonts w:eastAsiaTheme="minorEastAsia" w:cs="Calibri"/>
          <w:szCs w:val="20"/>
        </w:rPr>
        <w:t xml:space="preserve"> segment from January 1, 2026. Revenues generated in the United States declined year-on-year by 31.2% to CZK 1.7 billion. The development in the USA was affected by several factors, primarily seasonality of orders in the military and law enforcement segment</w:t>
      </w:r>
      <w:r w:rsidR="00542E46" w:rsidRPr="0040724B">
        <w:rPr>
          <w:rFonts w:eastAsiaTheme="minorEastAsia" w:cs="Calibri"/>
          <w:szCs w:val="20"/>
        </w:rPr>
        <w:t xml:space="preserve">, </w:t>
      </w:r>
      <w:r w:rsidRPr="0040724B">
        <w:rPr>
          <w:rFonts w:eastAsiaTheme="minorEastAsia" w:cs="Calibri"/>
          <w:szCs w:val="20"/>
        </w:rPr>
        <w:t xml:space="preserve">a slight recovery of the commercial market, as well as a decline in revenues in the ammunition segment due to </w:t>
      </w:r>
      <w:r w:rsidR="00F157CD" w:rsidRPr="0040724B">
        <w:rPr>
          <w:rFonts w:eastAsiaTheme="minorEastAsia" w:cs="Calibri"/>
          <w:szCs w:val="20"/>
        </w:rPr>
        <w:t xml:space="preserve">introduction of US import tariffs and </w:t>
      </w:r>
      <w:r w:rsidR="0039666F" w:rsidRPr="0040724B">
        <w:rPr>
          <w:rFonts w:eastAsiaTheme="minorEastAsia" w:cs="Calibri"/>
          <w:szCs w:val="20"/>
        </w:rPr>
        <w:t xml:space="preserve">the subsequent </w:t>
      </w:r>
      <w:r w:rsidRPr="0040724B">
        <w:rPr>
          <w:rFonts w:eastAsiaTheme="minorEastAsia" w:cs="Calibri"/>
          <w:szCs w:val="20"/>
        </w:rPr>
        <w:t xml:space="preserve">shift of </w:t>
      </w:r>
      <w:r w:rsidR="00D71386">
        <w:rPr>
          <w:rFonts w:eastAsiaTheme="minorEastAsia" w:cs="Calibri"/>
          <w:szCs w:val="20"/>
        </w:rPr>
        <w:t xml:space="preserve">some </w:t>
      </w:r>
      <w:r w:rsidRPr="0040724B">
        <w:rPr>
          <w:rFonts w:eastAsiaTheme="minorEastAsia" w:cs="Calibri"/>
          <w:szCs w:val="20"/>
        </w:rPr>
        <w:t xml:space="preserve">deliveries to European markets. Revenues generated in Canada for the first three months of 2026 amounted to CZK 906.7 million, representing a year-on-year increase of 349.2% thanks to a newly realized rifle supply contract </w:t>
      </w:r>
      <w:r w:rsidR="0039666F" w:rsidRPr="0040724B">
        <w:rPr>
          <w:rFonts w:eastAsiaTheme="minorEastAsia" w:cs="Calibri"/>
          <w:szCs w:val="20"/>
        </w:rPr>
        <w:t>for Canadian Army</w:t>
      </w:r>
      <w:r w:rsidRPr="0040724B">
        <w:rPr>
          <w:rFonts w:eastAsiaTheme="minorEastAsia" w:cs="Calibri"/>
          <w:szCs w:val="20"/>
        </w:rPr>
        <w:t>. Revenues generated in Europe (excluding the Czech Republic) increased year-on-year by 76.6% to CZK 3.2 billion in the first quarter of 2026 thanks to the Company’s strong performance on the European market and the consolidation of the new energetic</w:t>
      </w:r>
      <w:r w:rsidR="00D90D1E">
        <w:rPr>
          <w:rFonts w:eastAsiaTheme="minorEastAsia" w:cs="Calibri"/>
          <w:szCs w:val="20"/>
        </w:rPr>
        <w:t>s</w:t>
      </w:r>
      <w:r w:rsidRPr="0040724B">
        <w:rPr>
          <w:rFonts w:eastAsiaTheme="minorEastAsia" w:cs="Calibri"/>
          <w:szCs w:val="20"/>
        </w:rPr>
        <w:t xml:space="preserve"> segment from January 1, 2026.</w:t>
      </w:r>
    </w:p>
    <w:p w14:paraId="2BEB5BD2" w14:textId="6B0886AA" w:rsidR="001D1FCC" w:rsidRPr="0040724B" w:rsidRDefault="001D1FCC" w:rsidP="009E7287">
      <w:pPr>
        <w:pStyle w:val="DocText"/>
        <w:rPr>
          <w:rFonts w:ascii="Atyp Colt CZ" w:hAnsi="Atyp Colt CZ"/>
          <w:b/>
          <w:szCs w:val="20"/>
          <w:lang w:val="en-US"/>
        </w:rPr>
      </w:pPr>
      <w:bookmarkStart w:id="1" w:name="_Hlk67647981"/>
      <w:r w:rsidRPr="0040724B">
        <w:rPr>
          <w:rFonts w:ascii="Atyp Colt CZ" w:eastAsiaTheme="minorEastAsia" w:hAnsi="Atyp Colt CZ" w:cs="Calibri"/>
          <w:szCs w:val="20"/>
          <w:lang w:val="en-US"/>
        </w:rPr>
        <w:t xml:space="preserve">Revenues generated in Africa increased in the first quarter of 2026 by 11.3% to CZK 71.7 million due to new orders from both the firearms and ammunition segments. Revenues in Asia for the first three months of 2026 slightly declined by 11.7% to CZK 270.9 million due to seasonality </w:t>
      </w:r>
      <w:r w:rsidR="000F5E4B">
        <w:rPr>
          <w:rFonts w:ascii="Atyp Colt CZ" w:eastAsiaTheme="minorEastAsia" w:hAnsi="Atyp Colt CZ" w:cs="Calibri"/>
          <w:szCs w:val="20"/>
          <w:lang w:val="en-US"/>
        </w:rPr>
        <w:t xml:space="preserve">of </w:t>
      </w:r>
      <w:r w:rsidR="00822D9E" w:rsidRPr="0040724B">
        <w:rPr>
          <w:rFonts w:ascii="Atyp Colt CZ" w:eastAsiaTheme="minorEastAsia" w:hAnsi="Atyp Colt CZ" w:cs="Calibri"/>
          <w:szCs w:val="20"/>
          <w:lang w:val="en-US"/>
        </w:rPr>
        <w:t>orders</w:t>
      </w:r>
      <w:r w:rsidRPr="0040724B">
        <w:rPr>
          <w:rFonts w:ascii="Atyp Colt CZ" w:eastAsiaTheme="minorEastAsia" w:hAnsi="Atyp Colt CZ" w:cs="Calibri"/>
          <w:szCs w:val="20"/>
          <w:lang w:val="en-US"/>
        </w:rPr>
        <w:t>. Revenues for the Latin America region in the first three months of 2026 amounted to CZK 122.8 million, which is 18.0% lower year-on-year. Revenues from sales to other parts of the world reached CZK 19.6 million in the first quarter of 2026, down by 15.7% year-on-year.</w:t>
      </w:r>
    </w:p>
    <w:p w14:paraId="750F209A" w14:textId="1BBFE61B" w:rsidR="009E7287" w:rsidRPr="0040724B" w:rsidRDefault="009E7287" w:rsidP="009E7287">
      <w:pPr>
        <w:pStyle w:val="DocText"/>
        <w:rPr>
          <w:rStyle w:val="Zdraznn"/>
          <w:szCs w:val="20"/>
          <w:lang w:val="en-US"/>
        </w:rPr>
      </w:pPr>
      <w:r w:rsidRPr="0040724B">
        <w:rPr>
          <w:rStyle w:val="Zdraznn"/>
          <w:szCs w:val="20"/>
          <w:lang w:val="en-US"/>
        </w:rPr>
        <w:t>Breakdown of Group’s revenues for the reported periods by regions:</w:t>
      </w:r>
    </w:p>
    <w:tbl>
      <w:tblPr>
        <w:tblW w:w="4858" w:type="pct"/>
        <w:tblLook w:val="04A0" w:firstRow="1" w:lastRow="0" w:firstColumn="1" w:lastColumn="0" w:noHBand="0" w:noVBand="1"/>
      </w:tblPr>
      <w:tblGrid>
        <w:gridCol w:w="2680"/>
        <w:gridCol w:w="1759"/>
        <w:gridCol w:w="1250"/>
        <w:gridCol w:w="1165"/>
        <w:gridCol w:w="1684"/>
      </w:tblGrid>
      <w:tr w:rsidR="001D1FCC" w:rsidRPr="0040724B" w14:paraId="15974413" w14:textId="77777777" w:rsidTr="2D0220B9">
        <w:trPr>
          <w:trHeight w:val="428"/>
        </w:trPr>
        <w:tc>
          <w:tcPr>
            <w:tcW w:w="1569" w:type="pct"/>
          </w:tcPr>
          <w:p w14:paraId="7EEABF60" w14:textId="47CE082A" w:rsidR="001D1FCC" w:rsidRPr="0040724B" w:rsidRDefault="001D1FCC" w:rsidP="001D1FCC">
            <w:pPr>
              <w:pStyle w:val="ClientNormal"/>
              <w:tabs>
                <w:tab w:val="left" w:leader="dot" w:pos="5264"/>
              </w:tabs>
              <w:spacing w:before="120" w:line="260" w:lineRule="atLeast"/>
              <w:rPr>
                <w:rFonts w:ascii="Atyp Colt CZ" w:eastAsia="Calibri" w:hAnsi="Atyp Colt CZ" w:cs="Calibri"/>
                <w:szCs w:val="20"/>
                <w:lang w:val="en-US"/>
              </w:rPr>
            </w:pPr>
            <w:r w:rsidRPr="0040724B">
              <w:rPr>
                <w:rFonts w:ascii="Atyp Colt CZ" w:eastAsia="Calibri" w:hAnsi="Atyp Colt CZ" w:cs="Calibri"/>
                <w:szCs w:val="20"/>
                <w:lang w:val="en-US"/>
              </w:rPr>
              <w:t>(in CZK thousand)</w:t>
            </w:r>
          </w:p>
        </w:tc>
        <w:tc>
          <w:tcPr>
            <w:tcW w:w="1030" w:type="pct"/>
          </w:tcPr>
          <w:p w14:paraId="0EBCB872" w14:textId="147DB1EF" w:rsidR="001D1FCC" w:rsidRPr="0040724B" w:rsidRDefault="001D1FCC" w:rsidP="001D1FCC">
            <w:pPr>
              <w:pStyle w:val="ClientNormal"/>
              <w:tabs>
                <w:tab w:val="left" w:leader="dot" w:pos="5264"/>
              </w:tabs>
              <w:spacing w:before="120" w:line="260" w:lineRule="atLeast"/>
              <w:jc w:val="right"/>
              <w:rPr>
                <w:rFonts w:ascii="Atyp Colt CZ" w:eastAsia="Calibri" w:hAnsi="Atyp Colt CZ" w:cs="Calibri"/>
                <w:szCs w:val="20"/>
                <w:lang w:val="en-US"/>
              </w:rPr>
            </w:pPr>
            <w:r w:rsidRPr="0040724B">
              <w:rPr>
                <w:rFonts w:ascii="Atyp Colt CZ" w:eastAsia="Calibri" w:hAnsi="Atyp Colt CZ" w:cs="Calibri"/>
                <w:szCs w:val="20"/>
                <w:lang w:val="en-US"/>
              </w:rPr>
              <w:t>Q1 2026</w:t>
            </w:r>
          </w:p>
        </w:tc>
        <w:tc>
          <w:tcPr>
            <w:tcW w:w="732" w:type="pct"/>
          </w:tcPr>
          <w:p w14:paraId="578827B5" w14:textId="276952C7" w:rsidR="001D1FCC" w:rsidRPr="0040724B" w:rsidRDefault="001D1FCC" w:rsidP="001D1FCC">
            <w:pPr>
              <w:pStyle w:val="ClientNormal"/>
              <w:tabs>
                <w:tab w:val="left" w:leader="dot" w:pos="5264"/>
              </w:tabs>
              <w:spacing w:before="120" w:line="260" w:lineRule="atLeast"/>
              <w:rPr>
                <w:rFonts w:ascii="Atyp Colt CZ" w:eastAsia="Calibri" w:hAnsi="Atyp Colt CZ" w:cs="Calibri"/>
                <w:szCs w:val="20"/>
                <w:lang w:val="en-US"/>
              </w:rPr>
            </w:pPr>
            <w:r w:rsidRPr="0040724B">
              <w:rPr>
                <w:rFonts w:ascii="Atyp Colt CZ" w:eastAsia="Calibri" w:hAnsi="Atyp Colt CZ" w:cs="Calibri"/>
                <w:szCs w:val="20"/>
                <w:lang w:val="en-US"/>
              </w:rPr>
              <w:t>Q1 2025</w:t>
            </w:r>
          </w:p>
        </w:tc>
        <w:tc>
          <w:tcPr>
            <w:tcW w:w="682" w:type="pct"/>
          </w:tcPr>
          <w:p w14:paraId="0D286E5A" w14:textId="3152FB87" w:rsidR="001D1FCC" w:rsidRPr="0040724B" w:rsidRDefault="001D1FCC" w:rsidP="001D1FCC">
            <w:pPr>
              <w:pStyle w:val="ClientNormal"/>
              <w:tabs>
                <w:tab w:val="left" w:leader="dot" w:pos="5264"/>
              </w:tabs>
              <w:spacing w:before="120" w:line="260" w:lineRule="atLeast"/>
              <w:rPr>
                <w:rFonts w:ascii="Atyp Colt CZ" w:eastAsia="Calibri" w:hAnsi="Atyp Colt CZ" w:cs="Calibri"/>
                <w:szCs w:val="20"/>
                <w:lang w:val="en-US"/>
              </w:rPr>
            </w:pPr>
            <w:r w:rsidRPr="0040724B">
              <w:rPr>
                <w:rFonts w:ascii="Atyp Colt CZ" w:eastAsia="Calibri" w:hAnsi="Atyp Colt CZ" w:cs="Calibri"/>
                <w:szCs w:val="20"/>
                <w:lang w:val="en-US"/>
              </w:rPr>
              <w:t>Change in %</w:t>
            </w:r>
          </w:p>
        </w:tc>
        <w:tc>
          <w:tcPr>
            <w:tcW w:w="986" w:type="pct"/>
          </w:tcPr>
          <w:p w14:paraId="631E1EFA" w14:textId="11E4401E" w:rsidR="001D1FCC" w:rsidRPr="0040724B" w:rsidRDefault="001D1FCC" w:rsidP="001D1FCC">
            <w:pPr>
              <w:pStyle w:val="ClientNormal"/>
              <w:tabs>
                <w:tab w:val="left" w:leader="dot" w:pos="5264"/>
              </w:tabs>
              <w:spacing w:before="120" w:line="260" w:lineRule="atLeast"/>
              <w:rPr>
                <w:rFonts w:ascii="Atyp Colt CZ" w:eastAsia="Calibri" w:hAnsi="Atyp Colt CZ" w:cs="Calibri"/>
                <w:szCs w:val="20"/>
                <w:lang w:val="en-US"/>
              </w:rPr>
            </w:pPr>
            <w:r w:rsidRPr="0040724B">
              <w:rPr>
                <w:rFonts w:ascii="Atyp Colt CZ" w:eastAsia="Calibri" w:hAnsi="Atyp Colt CZ" w:cs="Calibri"/>
                <w:szCs w:val="20"/>
                <w:lang w:val="en-US"/>
              </w:rPr>
              <w:t>Share on total revenues in %</w:t>
            </w:r>
          </w:p>
        </w:tc>
      </w:tr>
      <w:tr w:rsidR="001D1FCC" w:rsidRPr="0040724B" w14:paraId="664E6BE4" w14:textId="77777777" w:rsidTr="2D0220B9">
        <w:trPr>
          <w:trHeight w:val="283"/>
        </w:trPr>
        <w:tc>
          <w:tcPr>
            <w:tcW w:w="1569" w:type="pct"/>
            <w:vAlign w:val="bottom"/>
          </w:tcPr>
          <w:p w14:paraId="664DF627" w14:textId="0A2423DF"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Czech Republic</w:t>
            </w:r>
          </w:p>
        </w:tc>
        <w:tc>
          <w:tcPr>
            <w:tcW w:w="1030" w:type="pct"/>
            <w:vAlign w:val="bottom"/>
          </w:tcPr>
          <w:p w14:paraId="57E91BB2" w14:textId="23227160"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1,046,611</w:t>
            </w:r>
          </w:p>
        </w:tc>
        <w:tc>
          <w:tcPr>
            <w:tcW w:w="732" w:type="pct"/>
            <w:vAlign w:val="bottom"/>
          </w:tcPr>
          <w:p w14:paraId="42222C6E" w14:textId="0E9976E2"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532,146</w:t>
            </w:r>
          </w:p>
        </w:tc>
        <w:tc>
          <w:tcPr>
            <w:tcW w:w="682" w:type="pct"/>
            <w:vAlign w:val="bottom"/>
          </w:tcPr>
          <w:p w14:paraId="1B0A1F64" w14:textId="7A6C3349"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96.7%</w:t>
            </w:r>
          </w:p>
        </w:tc>
        <w:tc>
          <w:tcPr>
            <w:tcW w:w="986" w:type="pct"/>
            <w:vAlign w:val="bottom"/>
          </w:tcPr>
          <w:p w14:paraId="6E62FB45" w14:textId="4AF658A2"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14.3%</w:t>
            </w:r>
          </w:p>
        </w:tc>
      </w:tr>
      <w:tr w:rsidR="001D1FCC" w:rsidRPr="0040724B" w14:paraId="404D4186" w14:textId="77777777" w:rsidTr="2D0220B9">
        <w:trPr>
          <w:trHeight w:val="283"/>
        </w:trPr>
        <w:tc>
          <w:tcPr>
            <w:tcW w:w="1569" w:type="pct"/>
            <w:vAlign w:val="bottom"/>
          </w:tcPr>
          <w:p w14:paraId="698E0455" w14:textId="66C12403"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USA</w:t>
            </w:r>
          </w:p>
        </w:tc>
        <w:tc>
          <w:tcPr>
            <w:tcW w:w="1030" w:type="pct"/>
            <w:vAlign w:val="bottom"/>
          </w:tcPr>
          <w:p w14:paraId="08493069" w14:textId="53422410"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1,656,124</w:t>
            </w:r>
          </w:p>
        </w:tc>
        <w:tc>
          <w:tcPr>
            <w:tcW w:w="732" w:type="pct"/>
            <w:vAlign w:val="bottom"/>
          </w:tcPr>
          <w:p w14:paraId="4AE75577" w14:textId="307286BB"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2,408,856</w:t>
            </w:r>
          </w:p>
        </w:tc>
        <w:tc>
          <w:tcPr>
            <w:tcW w:w="682" w:type="pct"/>
            <w:vAlign w:val="bottom"/>
          </w:tcPr>
          <w:p w14:paraId="07B9DE5A" w14:textId="6444237A"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(31.2%)</w:t>
            </w:r>
          </w:p>
        </w:tc>
        <w:tc>
          <w:tcPr>
            <w:tcW w:w="986" w:type="pct"/>
            <w:vAlign w:val="bottom"/>
          </w:tcPr>
          <w:p w14:paraId="0093C731" w14:textId="67B3232E"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22.6%</w:t>
            </w:r>
          </w:p>
        </w:tc>
      </w:tr>
      <w:tr w:rsidR="001D1FCC" w:rsidRPr="0040724B" w14:paraId="7C56420D" w14:textId="77777777" w:rsidTr="2D0220B9">
        <w:trPr>
          <w:trHeight w:val="283"/>
        </w:trPr>
        <w:tc>
          <w:tcPr>
            <w:tcW w:w="1569" w:type="pct"/>
            <w:vAlign w:val="bottom"/>
          </w:tcPr>
          <w:p w14:paraId="6ED77749" w14:textId="4411FC2C"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Canada</w:t>
            </w:r>
          </w:p>
        </w:tc>
        <w:tc>
          <w:tcPr>
            <w:tcW w:w="1030" w:type="pct"/>
            <w:vAlign w:val="bottom"/>
          </w:tcPr>
          <w:p w14:paraId="5B082D5E" w14:textId="4360B5C5"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906,722</w:t>
            </w:r>
          </w:p>
        </w:tc>
        <w:tc>
          <w:tcPr>
            <w:tcW w:w="732" w:type="pct"/>
            <w:vAlign w:val="bottom"/>
          </w:tcPr>
          <w:p w14:paraId="05390F3E" w14:textId="34A78A7A"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201,870</w:t>
            </w:r>
          </w:p>
        </w:tc>
        <w:tc>
          <w:tcPr>
            <w:tcW w:w="682" w:type="pct"/>
            <w:vAlign w:val="bottom"/>
          </w:tcPr>
          <w:p w14:paraId="0D9D6F99" w14:textId="1CF2EAE4"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349.2%</w:t>
            </w:r>
          </w:p>
        </w:tc>
        <w:tc>
          <w:tcPr>
            <w:tcW w:w="986" w:type="pct"/>
            <w:vAlign w:val="bottom"/>
          </w:tcPr>
          <w:p w14:paraId="6BCEEC90" w14:textId="5E597DDE"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12.4%</w:t>
            </w:r>
          </w:p>
        </w:tc>
      </w:tr>
      <w:tr w:rsidR="001D1FCC" w:rsidRPr="0040724B" w14:paraId="4308A482" w14:textId="77777777" w:rsidTr="2D0220B9">
        <w:trPr>
          <w:trHeight w:val="283"/>
        </w:trPr>
        <w:tc>
          <w:tcPr>
            <w:tcW w:w="1569" w:type="pct"/>
            <w:vAlign w:val="bottom"/>
          </w:tcPr>
          <w:p w14:paraId="1430E2BD" w14:textId="457430EB"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Europe (excl. the Czech Republic)</w:t>
            </w:r>
          </w:p>
        </w:tc>
        <w:tc>
          <w:tcPr>
            <w:tcW w:w="1030" w:type="pct"/>
            <w:vAlign w:val="bottom"/>
          </w:tcPr>
          <w:p w14:paraId="3277236F" w14:textId="4805216E"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3,222,960</w:t>
            </w:r>
          </w:p>
        </w:tc>
        <w:tc>
          <w:tcPr>
            <w:tcW w:w="732" w:type="pct"/>
            <w:vAlign w:val="bottom"/>
          </w:tcPr>
          <w:p w14:paraId="2324A193" w14:textId="1A783C4B"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1,825,055</w:t>
            </w:r>
          </w:p>
        </w:tc>
        <w:tc>
          <w:tcPr>
            <w:tcW w:w="682" w:type="pct"/>
            <w:vAlign w:val="bottom"/>
          </w:tcPr>
          <w:p w14:paraId="054DD28C" w14:textId="58A55B62"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76.6%</w:t>
            </w:r>
          </w:p>
        </w:tc>
        <w:tc>
          <w:tcPr>
            <w:tcW w:w="986" w:type="pct"/>
            <w:vAlign w:val="bottom"/>
          </w:tcPr>
          <w:p w14:paraId="1592FD35" w14:textId="2A3E858A"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44.0%</w:t>
            </w:r>
          </w:p>
        </w:tc>
      </w:tr>
      <w:tr w:rsidR="001D1FCC" w:rsidRPr="0040724B" w14:paraId="799BFE76" w14:textId="77777777" w:rsidTr="2D0220B9">
        <w:trPr>
          <w:trHeight w:val="283"/>
        </w:trPr>
        <w:tc>
          <w:tcPr>
            <w:tcW w:w="1569" w:type="pct"/>
            <w:vAlign w:val="bottom"/>
          </w:tcPr>
          <w:p w14:paraId="3D9BE94A" w14:textId="76216524"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Africa</w:t>
            </w:r>
          </w:p>
        </w:tc>
        <w:tc>
          <w:tcPr>
            <w:tcW w:w="1030" w:type="pct"/>
            <w:vAlign w:val="bottom"/>
          </w:tcPr>
          <w:p w14:paraId="2151A276" w14:textId="416E2FD2"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71,733</w:t>
            </w:r>
          </w:p>
        </w:tc>
        <w:tc>
          <w:tcPr>
            <w:tcW w:w="732" w:type="pct"/>
            <w:vAlign w:val="bottom"/>
          </w:tcPr>
          <w:p w14:paraId="64BECE17" w14:textId="11ADD826"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64,440</w:t>
            </w:r>
          </w:p>
        </w:tc>
        <w:tc>
          <w:tcPr>
            <w:tcW w:w="682" w:type="pct"/>
            <w:vAlign w:val="bottom"/>
          </w:tcPr>
          <w:p w14:paraId="4736018A" w14:textId="72072987"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11.3%</w:t>
            </w:r>
          </w:p>
        </w:tc>
        <w:tc>
          <w:tcPr>
            <w:tcW w:w="986" w:type="pct"/>
            <w:vAlign w:val="bottom"/>
          </w:tcPr>
          <w:p w14:paraId="7DE5F2AE" w14:textId="3B95DB72"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1.0%</w:t>
            </w:r>
          </w:p>
        </w:tc>
      </w:tr>
      <w:tr w:rsidR="001D1FCC" w:rsidRPr="0040724B" w14:paraId="777CD43C" w14:textId="77777777" w:rsidTr="2D0220B9">
        <w:trPr>
          <w:trHeight w:val="283"/>
        </w:trPr>
        <w:tc>
          <w:tcPr>
            <w:tcW w:w="1569" w:type="pct"/>
            <w:vAlign w:val="bottom"/>
          </w:tcPr>
          <w:p w14:paraId="707DDB71" w14:textId="7EFE2AB2"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Asia</w:t>
            </w:r>
          </w:p>
        </w:tc>
        <w:tc>
          <w:tcPr>
            <w:tcW w:w="1030" w:type="pct"/>
            <w:vAlign w:val="bottom"/>
          </w:tcPr>
          <w:p w14:paraId="27587184" w14:textId="576AF636"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270,911</w:t>
            </w:r>
          </w:p>
        </w:tc>
        <w:tc>
          <w:tcPr>
            <w:tcW w:w="732" w:type="pct"/>
            <w:vAlign w:val="bottom"/>
          </w:tcPr>
          <w:p w14:paraId="0A2FB029" w14:textId="5549E78B"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306,908</w:t>
            </w:r>
          </w:p>
        </w:tc>
        <w:tc>
          <w:tcPr>
            <w:tcW w:w="682" w:type="pct"/>
            <w:vAlign w:val="bottom"/>
          </w:tcPr>
          <w:p w14:paraId="4C45395E" w14:textId="238BBCE7" w:rsidR="001D1FCC" w:rsidRPr="0040724B" w:rsidRDefault="001D1FCC" w:rsidP="001D1FCC">
            <w:pPr>
              <w:pStyle w:val="ClientNormal"/>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(11.7%)</w:t>
            </w:r>
          </w:p>
        </w:tc>
        <w:tc>
          <w:tcPr>
            <w:tcW w:w="986" w:type="pct"/>
            <w:vAlign w:val="bottom"/>
          </w:tcPr>
          <w:p w14:paraId="16B6A24B" w14:textId="7F1075DC" w:rsidR="001D1FCC" w:rsidRPr="0040724B" w:rsidRDefault="5CC7098C" w:rsidP="2D0220B9">
            <w:pPr>
              <w:pStyle w:val="ClientNormal"/>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3.7%</w:t>
            </w:r>
          </w:p>
        </w:tc>
      </w:tr>
      <w:tr w:rsidR="001D1FCC" w:rsidRPr="0040724B" w14:paraId="3F44B6E4" w14:textId="77777777" w:rsidTr="2D0220B9">
        <w:trPr>
          <w:trHeight w:val="283"/>
        </w:trPr>
        <w:tc>
          <w:tcPr>
            <w:tcW w:w="1569" w:type="pct"/>
            <w:vAlign w:val="bottom"/>
          </w:tcPr>
          <w:p w14:paraId="4ADF18F9" w14:textId="042FC2CB" w:rsidR="001D1FCC" w:rsidRPr="0040724B" w:rsidRDefault="001D1FCC" w:rsidP="001D1FCC">
            <w:pPr>
              <w:pStyle w:val="ClientNormal"/>
              <w:tabs>
                <w:tab w:val="left" w:leader="dot" w:pos="5264"/>
              </w:tabs>
              <w:spacing w:before="120" w:line="260" w:lineRule="atLeast"/>
              <w:rPr>
                <w:rFonts w:ascii="Atyp Colt CZ" w:eastAsia="Calibri" w:hAnsi="Atyp Colt CZ" w:cs="Calibri"/>
                <w:szCs w:val="20"/>
                <w:lang w:val="en-US"/>
              </w:rPr>
            </w:pPr>
            <w:r w:rsidRPr="0040724B">
              <w:rPr>
                <w:rFonts w:ascii="Atyp Colt CZ" w:eastAsia="Calibri" w:hAnsi="Atyp Colt CZ" w:cs="Calibri"/>
                <w:szCs w:val="20"/>
                <w:lang w:val="en-US"/>
              </w:rPr>
              <w:t>LATAM</w:t>
            </w:r>
          </w:p>
        </w:tc>
        <w:tc>
          <w:tcPr>
            <w:tcW w:w="1030" w:type="pct"/>
            <w:vAlign w:val="bottom"/>
          </w:tcPr>
          <w:p w14:paraId="6BCDDA6D" w14:textId="33B13AD0"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122,811</w:t>
            </w:r>
          </w:p>
        </w:tc>
        <w:tc>
          <w:tcPr>
            <w:tcW w:w="732" w:type="pct"/>
            <w:vAlign w:val="bottom"/>
          </w:tcPr>
          <w:p w14:paraId="41D7B103" w14:textId="0F44B31D" w:rsidR="001D1FCC" w:rsidRPr="0040724B" w:rsidRDefault="001D1FCC" w:rsidP="001D1FCC">
            <w:pPr>
              <w:pStyle w:val="ClientNormal"/>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149,751</w:t>
            </w:r>
          </w:p>
        </w:tc>
        <w:tc>
          <w:tcPr>
            <w:tcW w:w="682" w:type="pct"/>
            <w:vAlign w:val="bottom"/>
          </w:tcPr>
          <w:p w14:paraId="125FE81B" w14:textId="402174FE" w:rsidR="001D1FCC" w:rsidRPr="0040724B" w:rsidRDefault="001D1FCC" w:rsidP="001D1FCC">
            <w:pPr>
              <w:pStyle w:val="ClientNormal"/>
              <w:spacing w:before="120"/>
              <w:jc w:val="right"/>
              <w:rPr>
                <w:rFonts w:ascii="Atyp Colt CZ" w:hAnsi="Atyp Colt CZ"/>
                <w:bCs/>
                <w:szCs w:val="20"/>
                <w:lang w:val="en-US"/>
              </w:rPr>
            </w:pPr>
            <w:r w:rsidRPr="0040724B">
              <w:rPr>
                <w:rFonts w:ascii="Atyp Colt CZ" w:hAnsi="Atyp Colt CZ" w:cs="Calibri"/>
                <w:color w:val="000000"/>
                <w:szCs w:val="20"/>
                <w:lang w:val="en-US"/>
              </w:rPr>
              <w:t>(18.0%</w:t>
            </w:r>
            <w:r w:rsidR="00FD30FB" w:rsidRPr="0040724B">
              <w:rPr>
                <w:rFonts w:ascii="Atyp Colt CZ" w:hAnsi="Atyp Colt CZ" w:cs="Calibri"/>
                <w:color w:val="000000"/>
                <w:szCs w:val="20"/>
                <w:lang w:val="en-US"/>
              </w:rPr>
              <w:t>)</w:t>
            </w:r>
          </w:p>
        </w:tc>
        <w:tc>
          <w:tcPr>
            <w:tcW w:w="986" w:type="pct"/>
            <w:vAlign w:val="bottom"/>
          </w:tcPr>
          <w:p w14:paraId="045801AB" w14:textId="358663C5" w:rsidR="001D1FCC" w:rsidRPr="0040724B" w:rsidRDefault="5CC7098C" w:rsidP="2D0220B9">
            <w:pPr>
              <w:pStyle w:val="ClientNormal"/>
              <w:spacing w:before="120"/>
              <w:jc w:val="right"/>
              <w:rPr>
                <w:rFonts w:ascii="Atyp Colt CZ" w:hAnsi="Atyp Colt CZ"/>
                <w:i/>
                <w:iCs/>
                <w:lang w:val="en-US"/>
              </w:rPr>
            </w:pPr>
            <w:r w:rsidRPr="2D0220B9">
              <w:rPr>
                <w:rFonts w:ascii="Atyp Colt CZ" w:hAnsi="Atyp Colt CZ" w:cs="Calibri"/>
                <w:i/>
                <w:iCs/>
                <w:color w:val="000000" w:themeColor="text1"/>
                <w:lang w:val="en-US"/>
              </w:rPr>
              <w:t>1.7%</w:t>
            </w:r>
          </w:p>
        </w:tc>
      </w:tr>
      <w:tr w:rsidR="001D1FCC" w:rsidRPr="0040724B" w14:paraId="0FC24F4D" w14:textId="77777777" w:rsidTr="2D0220B9">
        <w:trPr>
          <w:trHeight w:val="283"/>
        </w:trPr>
        <w:tc>
          <w:tcPr>
            <w:tcW w:w="1569" w:type="pct"/>
            <w:vAlign w:val="bottom"/>
          </w:tcPr>
          <w:p w14:paraId="0AE6FC75" w14:textId="74C08210" w:rsidR="001D1FCC" w:rsidRPr="0040724B" w:rsidRDefault="001D1FCC" w:rsidP="001D1FCC">
            <w:pPr>
              <w:pStyle w:val="ClientNormal"/>
              <w:tabs>
                <w:tab w:val="left" w:leader="dot" w:pos="5264"/>
              </w:tabs>
              <w:spacing w:before="120" w:line="260" w:lineRule="atLeast"/>
              <w:rPr>
                <w:rFonts w:ascii="Atyp Colt CZ" w:eastAsia="Calibri" w:hAnsi="Atyp Colt CZ"/>
                <w:szCs w:val="20"/>
                <w:lang w:val="en-US"/>
              </w:rPr>
            </w:pPr>
            <w:r w:rsidRPr="0040724B">
              <w:rPr>
                <w:rFonts w:ascii="Atyp Colt CZ" w:eastAsia="Calibri" w:hAnsi="Atyp Colt CZ" w:cs="Calibri"/>
                <w:szCs w:val="20"/>
                <w:lang w:val="en-US"/>
              </w:rPr>
              <w:t>Other</w:t>
            </w:r>
          </w:p>
        </w:tc>
        <w:tc>
          <w:tcPr>
            <w:tcW w:w="1030" w:type="pct"/>
            <w:vAlign w:val="bottom"/>
          </w:tcPr>
          <w:p w14:paraId="5A6FD551" w14:textId="3549ADAE" w:rsidR="001D1FCC" w:rsidRPr="0040724B" w:rsidRDefault="001D1FCC" w:rsidP="001D1FCC">
            <w:pPr>
              <w:pStyle w:val="ClientNormal"/>
              <w:pBdr>
                <w:bottom w:val="single" w:sz="4" w:space="1" w:color="auto"/>
              </w:pBdr>
              <w:spacing w:before="120"/>
              <w:jc w:val="right"/>
              <w:rPr>
                <w:rFonts w:ascii="Atyp Colt CZ" w:hAnsi="Atyp Colt CZ"/>
                <w:bCs/>
                <w:szCs w:val="20"/>
                <w:lang w:val="en-US"/>
              </w:rPr>
            </w:pPr>
            <w:r w:rsidRPr="0040724B">
              <w:rPr>
                <w:rFonts w:ascii="Atyp Colt CZ" w:hAnsi="Atyp Colt CZ" w:cs="Calibri"/>
                <w:color w:val="000000"/>
                <w:szCs w:val="20"/>
                <w:lang w:val="en-US"/>
              </w:rPr>
              <w:t>19,557</w:t>
            </w:r>
          </w:p>
        </w:tc>
        <w:tc>
          <w:tcPr>
            <w:tcW w:w="732" w:type="pct"/>
            <w:vAlign w:val="bottom"/>
          </w:tcPr>
          <w:p w14:paraId="658DE590" w14:textId="59981D6D" w:rsidR="001D1FCC" w:rsidRPr="0040724B" w:rsidRDefault="001D1FCC" w:rsidP="001D1FCC">
            <w:pPr>
              <w:pStyle w:val="ClientNormal"/>
              <w:pBdr>
                <w:bottom w:val="single" w:sz="4" w:space="1" w:color="auto"/>
              </w:pBdr>
              <w:spacing w:before="120"/>
              <w:jc w:val="right"/>
              <w:rPr>
                <w:rFonts w:ascii="Atyp Colt CZ" w:hAnsi="Atyp Colt CZ" w:cs="Calibri"/>
                <w:color w:val="000000"/>
                <w:szCs w:val="20"/>
                <w:lang w:val="en-US"/>
              </w:rPr>
            </w:pPr>
            <w:r w:rsidRPr="0040724B">
              <w:rPr>
                <w:rFonts w:ascii="Atyp Colt CZ" w:hAnsi="Atyp Colt CZ" w:cs="Calibri"/>
                <w:color w:val="000000"/>
                <w:szCs w:val="20"/>
                <w:lang w:val="en-US"/>
              </w:rPr>
              <w:t>23,195</w:t>
            </w:r>
          </w:p>
        </w:tc>
        <w:tc>
          <w:tcPr>
            <w:tcW w:w="682" w:type="pct"/>
            <w:vAlign w:val="bottom"/>
          </w:tcPr>
          <w:p w14:paraId="2677807D" w14:textId="1568BDDD" w:rsidR="001D1FCC" w:rsidRPr="0040724B" w:rsidRDefault="00FD30FB" w:rsidP="001D1FCC">
            <w:pPr>
              <w:pStyle w:val="ClientNormal"/>
              <w:pBdr>
                <w:bottom w:val="single" w:sz="4" w:space="1" w:color="auto"/>
              </w:pBdr>
              <w:spacing w:before="120"/>
              <w:jc w:val="right"/>
              <w:rPr>
                <w:rFonts w:ascii="Atyp Colt CZ" w:eastAsia="Calibri" w:hAnsi="Atyp Colt CZ" w:cs="Calibri"/>
                <w:szCs w:val="20"/>
                <w:lang w:val="en-US"/>
              </w:rPr>
            </w:pPr>
            <w:r w:rsidRPr="0040724B">
              <w:rPr>
                <w:rFonts w:ascii="Atyp Colt CZ" w:hAnsi="Atyp Colt CZ" w:cs="Calibri"/>
                <w:color w:val="000000"/>
                <w:szCs w:val="20"/>
                <w:lang w:val="en-US"/>
              </w:rPr>
              <w:t>(</w:t>
            </w:r>
            <w:r w:rsidR="001D1FCC" w:rsidRPr="0040724B">
              <w:rPr>
                <w:rFonts w:ascii="Atyp Colt CZ" w:hAnsi="Atyp Colt CZ" w:cs="Calibri"/>
                <w:color w:val="000000"/>
                <w:szCs w:val="20"/>
                <w:lang w:val="en-US"/>
              </w:rPr>
              <w:t>15.7%</w:t>
            </w:r>
            <w:r w:rsidRPr="0040724B">
              <w:rPr>
                <w:rFonts w:ascii="Atyp Colt CZ" w:hAnsi="Atyp Colt CZ" w:cs="Calibri"/>
                <w:color w:val="000000"/>
                <w:szCs w:val="20"/>
                <w:lang w:val="en-US"/>
              </w:rPr>
              <w:t>)</w:t>
            </w:r>
          </w:p>
        </w:tc>
        <w:tc>
          <w:tcPr>
            <w:tcW w:w="986" w:type="pct"/>
            <w:vAlign w:val="bottom"/>
          </w:tcPr>
          <w:p w14:paraId="5188FF98" w14:textId="7FAE574D" w:rsidR="001D1FCC" w:rsidRPr="0040724B" w:rsidRDefault="5CC7098C" w:rsidP="2D0220B9">
            <w:pPr>
              <w:pStyle w:val="ClientNormal"/>
              <w:pBdr>
                <w:bottom w:val="single" w:sz="4" w:space="1" w:color="auto"/>
              </w:pBdr>
              <w:spacing w:before="120"/>
              <w:jc w:val="right"/>
              <w:rPr>
                <w:rFonts w:ascii="Atyp Colt CZ" w:eastAsia="Calibri" w:hAnsi="Atyp Colt CZ" w:cs="Calibri"/>
                <w:i/>
                <w:iCs/>
                <w:lang w:val="en-US"/>
              </w:rPr>
            </w:pPr>
            <w:r w:rsidRPr="2D0220B9">
              <w:rPr>
                <w:rFonts w:ascii="Atyp Colt CZ" w:hAnsi="Atyp Colt CZ" w:cs="Calibri"/>
                <w:i/>
                <w:iCs/>
                <w:color w:val="000000" w:themeColor="text1"/>
                <w:lang w:val="en-US"/>
              </w:rPr>
              <w:t>0.3%</w:t>
            </w:r>
          </w:p>
        </w:tc>
      </w:tr>
      <w:tr w:rsidR="001D1FCC" w:rsidRPr="0040724B" w14:paraId="7B0B74E0" w14:textId="77777777" w:rsidTr="2D0220B9">
        <w:trPr>
          <w:trHeight w:val="283"/>
        </w:trPr>
        <w:tc>
          <w:tcPr>
            <w:tcW w:w="1569" w:type="pct"/>
            <w:vAlign w:val="bottom"/>
          </w:tcPr>
          <w:p w14:paraId="2C68F1B9" w14:textId="6A7F6AED" w:rsidR="001D1FCC" w:rsidRPr="0040724B" w:rsidRDefault="001D1FCC" w:rsidP="001D1FCC">
            <w:pPr>
              <w:pStyle w:val="ClientNormal"/>
              <w:tabs>
                <w:tab w:val="left" w:leader="dot" w:pos="5264"/>
              </w:tabs>
              <w:spacing w:before="120" w:line="260" w:lineRule="atLeast"/>
              <w:rPr>
                <w:rFonts w:ascii="Atyp Colt CZ" w:eastAsia="Calibri" w:hAnsi="Atyp Colt CZ"/>
                <w:b/>
                <w:bCs/>
                <w:szCs w:val="20"/>
                <w:lang w:val="en-US"/>
              </w:rPr>
            </w:pPr>
            <w:r w:rsidRPr="0040724B">
              <w:rPr>
                <w:rFonts w:ascii="Atyp Colt CZ" w:eastAsia="Calibri" w:hAnsi="Atyp Colt CZ" w:cs="Calibri"/>
                <w:b/>
                <w:bCs/>
                <w:szCs w:val="20"/>
                <w:lang w:val="en-US"/>
              </w:rPr>
              <w:t>Total</w:t>
            </w:r>
          </w:p>
        </w:tc>
        <w:tc>
          <w:tcPr>
            <w:tcW w:w="1030" w:type="pct"/>
          </w:tcPr>
          <w:p w14:paraId="510E1B40" w14:textId="6331B815" w:rsidR="001D1FCC" w:rsidRPr="0040724B" w:rsidRDefault="001D1FCC" w:rsidP="001D1FCC">
            <w:pPr>
              <w:pStyle w:val="ClientNormal"/>
              <w:pBdr>
                <w:bottom w:val="double" w:sz="4" w:space="1" w:color="auto"/>
              </w:pBdr>
              <w:spacing w:before="120"/>
              <w:jc w:val="right"/>
              <w:rPr>
                <w:rFonts w:ascii="Atyp Colt CZ" w:eastAsia="Calibri" w:hAnsi="Atyp Colt CZ" w:cs="Calibri"/>
                <w:b/>
                <w:bCs/>
                <w:szCs w:val="20"/>
                <w:lang w:val="en-US"/>
              </w:rPr>
            </w:pPr>
            <w:r w:rsidRPr="0040724B">
              <w:rPr>
                <w:rFonts w:ascii="Atyp Colt CZ" w:eastAsia="Calibri" w:hAnsi="Atyp Colt CZ" w:cs="Calibri"/>
                <w:b/>
                <w:bCs/>
                <w:szCs w:val="20"/>
                <w:lang w:val="en-US"/>
              </w:rPr>
              <w:t>7,317,429</w:t>
            </w:r>
          </w:p>
        </w:tc>
        <w:tc>
          <w:tcPr>
            <w:tcW w:w="732" w:type="pct"/>
          </w:tcPr>
          <w:p w14:paraId="71E8AD35" w14:textId="3BADB9C9" w:rsidR="001D1FCC" w:rsidRPr="0040724B" w:rsidRDefault="001D1FCC" w:rsidP="001D1FCC">
            <w:pPr>
              <w:pStyle w:val="ClientNormal"/>
              <w:pBdr>
                <w:bottom w:val="double" w:sz="4" w:space="1" w:color="auto"/>
              </w:pBdr>
              <w:spacing w:before="120"/>
              <w:jc w:val="right"/>
              <w:rPr>
                <w:rFonts w:ascii="Atyp Colt CZ" w:hAnsi="Atyp Colt CZ"/>
                <w:b/>
                <w:bCs/>
                <w:szCs w:val="20"/>
                <w:lang w:val="en-US"/>
              </w:rPr>
            </w:pPr>
            <w:r w:rsidRPr="0040724B">
              <w:rPr>
                <w:rFonts w:ascii="Atyp Colt CZ" w:eastAsia="Calibri" w:hAnsi="Atyp Colt CZ" w:cs="Calibri"/>
                <w:b/>
                <w:bCs/>
                <w:szCs w:val="20"/>
                <w:lang w:val="en-US"/>
              </w:rPr>
              <w:t>5,512,221</w:t>
            </w:r>
          </w:p>
        </w:tc>
        <w:tc>
          <w:tcPr>
            <w:tcW w:w="682" w:type="pct"/>
          </w:tcPr>
          <w:p w14:paraId="7AEE194A" w14:textId="5E5823E6" w:rsidR="001D1FCC" w:rsidRPr="0040724B" w:rsidRDefault="5CC7098C" w:rsidP="2D0220B9">
            <w:pPr>
              <w:pStyle w:val="ClientNormal"/>
              <w:pBdr>
                <w:bottom w:val="double" w:sz="4" w:space="1" w:color="auto"/>
              </w:pBdr>
              <w:spacing w:before="120"/>
              <w:jc w:val="right"/>
              <w:rPr>
                <w:rFonts w:ascii="Atyp Colt CZ" w:eastAsia="Calibri" w:hAnsi="Atyp Colt CZ" w:cs="Calibri"/>
                <w:b/>
                <w:bCs/>
                <w:lang w:val="en-US"/>
              </w:rPr>
            </w:pPr>
            <w:r w:rsidRPr="2D0220B9">
              <w:rPr>
                <w:rFonts w:ascii="Atyp Colt CZ" w:hAnsi="Atyp Colt CZ"/>
                <w:b/>
                <w:bCs/>
                <w:lang w:val="en-US"/>
              </w:rPr>
              <w:t>32.7%</w:t>
            </w:r>
          </w:p>
        </w:tc>
        <w:tc>
          <w:tcPr>
            <w:tcW w:w="986" w:type="pct"/>
            <w:vAlign w:val="bottom"/>
          </w:tcPr>
          <w:p w14:paraId="1B4D2EDC" w14:textId="7666235D" w:rsidR="001D1FCC" w:rsidRPr="0040724B" w:rsidRDefault="5CC7098C" w:rsidP="2D0220B9">
            <w:pPr>
              <w:pStyle w:val="ClientNormal"/>
              <w:pBdr>
                <w:bottom w:val="double" w:sz="4" w:space="1" w:color="auto"/>
              </w:pBdr>
              <w:spacing w:before="120"/>
              <w:jc w:val="right"/>
              <w:rPr>
                <w:rFonts w:ascii="Atyp Colt CZ" w:eastAsia="Calibri" w:hAnsi="Atyp Colt CZ" w:cs="Calibri"/>
                <w:b/>
                <w:bCs/>
                <w:i/>
                <w:iCs/>
                <w:lang w:val="en-US"/>
              </w:rPr>
            </w:pPr>
            <w:r w:rsidRPr="2D0220B9">
              <w:rPr>
                <w:rFonts w:ascii="Atyp Colt CZ" w:hAnsi="Atyp Colt CZ" w:cs="Calibri"/>
                <w:b/>
                <w:bCs/>
                <w:i/>
                <w:iCs/>
                <w:color w:val="000000" w:themeColor="text1"/>
                <w:lang w:val="en-US"/>
              </w:rPr>
              <w:t>100.0%</w:t>
            </w:r>
          </w:p>
        </w:tc>
      </w:tr>
      <w:bookmarkEnd w:id="1"/>
    </w:tbl>
    <w:p w14:paraId="3A4F6908" w14:textId="77777777" w:rsidR="000760F9" w:rsidRPr="0040724B" w:rsidRDefault="000760F9" w:rsidP="000760F9">
      <w:pPr>
        <w:spacing w:before="120" w:after="0" w:line="259" w:lineRule="auto"/>
        <w:rPr>
          <w:rFonts w:eastAsia="Calibri"/>
          <w:szCs w:val="20"/>
        </w:rPr>
      </w:pPr>
    </w:p>
    <w:p w14:paraId="594FE17D" w14:textId="77777777" w:rsidR="00FD30FB" w:rsidRPr="0040724B" w:rsidRDefault="00FD30FB" w:rsidP="0036103F">
      <w:pPr>
        <w:keepNext/>
        <w:spacing w:before="120" w:after="0" w:line="259" w:lineRule="auto"/>
        <w:rPr>
          <w:rFonts w:eastAsia="Calibri"/>
          <w:b/>
          <w:bCs/>
          <w:szCs w:val="20"/>
        </w:rPr>
      </w:pPr>
      <w:r w:rsidRPr="0040724B">
        <w:rPr>
          <w:rFonts w:eastAsia="Calibri"/>
          <w:b/>
          <w:bCs/>
          <w:szCs w:val="20"/>
        </w:rPr>
        <w:lastRenderedPageBreak/>
        <w:t>Financial Results by Segment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1547"/>
        <w:gridCol w:w="1547"/>
        <w:gridCol w:w="1547"/>
        <w:gridCol w:w="1548"/>
      </w:tblGrid>
      <w:tr w:rsidR="00FD30FB" w:rsidRPr="0040724B" w14:paraId="558C6228" w14:textId="77777777" w:rsidTr="00FD30FB">
        <w:trPr>
          <w:tblHeader/>
          <w:tblCellSpacing w:w="15" w:type="dxa"/>
        </w:trPr>
        <w:tc>
          <w:tcPr>
            <w:tcW w:w="2223" w:type="dxa"/>
            <w:vAlign w:val="center"/>
            <w:hideMark/>
          </w:tcPr>
          <w:p w14:paraId="688A698D" w14:textId="77777777" w:rsidR="00FD30FB" w:rsidRPr="0040724B" w:rsidRDefault="00FD30FB" w:rsidP="00FD30FB">
            <w:pPr>
              <w:spacing w:before="120" w:after="0" w:line="259" w:lineRule="auto"/>
              <w:jc w:val="left"/>
              <w:rPr>
                <w:rFonts w:eastAsia="Calibri"/>
                <w:b/>
                <w:bCs/>
                <w:szCs w:val="20"/>
              </w:rPr>
            </w:pPr>
            <w:r w:rsidRPr="0040724B">
              <w:rPr>
                <w:rFonts w:eastAsia="Calibri"/>
                <w:b/>
                <w:bCs/>
                <w:szCs w:val="20"/>
              </w:rPr>
              <w:t>(in CZK thousand)</w:t>
            </w:r>
          </w:p>
        </w:tc>
        <w:tc>
          <w:tcPr>
            <w:tcW w:w="1517" w:type="dxa"/>
            <w:vAlign w:val="center"/>
            <w:hideMark/>
          </w:tcPr>
          <w:p w14:paraId="21002AB4" w14:textId="77777777" w:rsidR="00FD30FB" w:rsidRPr="0040724B" w:rsidRDefault="00FD30FB" w:rsidP="00FD30FB">
            <w:pPr>
              <w:spacing w:before="120" w:after="0" w:line="259" w:lineRule="auto"/>
              <w:jc w:val="right"/>
              <w:rPr>
                <w:rFonts w:eastAsia="Calibri"/>
                <w:b/>
                <w:bCs/>
                <w:szCs w:val="20"/>
              </w:rPr>
            </w:pPr>
            <w:r w:rsidRPr="0040724B">
              <w:rPr>
                <w:rFonts w:eastAsia="Calibri"/>
                <w:b/>
                <w:bCs/>
                <w:szCs w:val="20"/>
              </w:rPr>
              <w:t>Firearms</w:t>
            </w:r>
          </w:p>
        </w:tc>
        <w:tc>
          <w:tcPr>
            <w:tcW w:w="1517" w:type="dxa"/>
            <w:vAlign w:val="center"/>
            <w:hideMark/>
          </w:tcPr>
          <w:p w14:paraId="1E73051F" w14:textId="77777777" w:rsidR="00FD30FB" w:rsidRPr="0040724B" w:rsidRDefault="00FD30FB" w:rsidP="00FD30FB">
            <w:pPr>
              <w:spacing w:before="120" w:after="0" w:line="259" w:lineRule="auto"/>
              <w:jc w:val="right"/>
              <w:rPr>
                <w:rFonts w:eastAsia="Calibri"/>
                <w:b/>
                <w:bCs/>
                <w:szCs w:val="20"/>
              </w:rPr>
            </w:pPr>
            <w:r w:rsidRPr="0040724B">
              <w:rPr>
                <w:rFonts w:eastAsia="Calibri"/>
                <w:b/>
                <w:bCs/>
                <w:szCs w:val="20"/>
              </w:rPr>
              <w:t>Ammunition</w:t>
            </w:r>
          </w:p>
        </w:tc>
        <w:tc>
          <w:tcPr>
            <w:tcW w:w="1517" w:type="dxa"/>
            <w:vAlign w:val="center"/>
            <w:hideMark/>
          </w:tcPr>
          <w:p w14:paraId="3D9845E9" w14:textId="4767ADCE" w:rsidR="00FD30FB" w:rsidRPr="0040724B" w:rsidRDefault="00FD30FB" w:rsidP="00FD30FB">
            <w:pPr>
              <w:spacing w:before="120" w:after="0" w:line="259" w:lineRule="auto"/>
              <w:jc w:val="right"/>
              <w:rPr>
                <w:rFonts w:eastAsia="Calibri"/>
                <w:b/>
                <w:bCs/>
                <w:szCs w:val="20"/>
              </w:rPr>
            </w:pPr>
            <w:r w:rsidRPr="0040724B">
              <w:rPr>
                <w:rFonts w:eastAsia="Calibri"/>
                <w:b/>
                <w:bCs/>
                <w:szCs w:val="20"/>
              </w:rPr>
              <w:t>Energetic</w:t>
            </w:r>
            <w:r w:rsidR="00D90D1E">
              <w:rPr>
                <w:rFonts w:eastAsia="Calibri"/>
                <w:b/>
                <w:bCs/>
                <w:szCs w:val="20"/>
              </w:rPr>
              <w:t>s</w:t>
            </w:r>
          </w:p>
        </w:tc>
        <w:tc>
          <w:tcPr>
            <w:tcW w:w="1503" w:type="dxa"/>
            <w:vAlign w:val="center"/>
            <w:hideMark/>
          </w:tcPr>
          <w:p w14:paraId="15BED8B5" w14:textId="77777777" w:rsidR="00FD30FB" w:rsidRPr="0040724B" w:rsidRDefault="00FD30FB" w:rsidP="00FD30FB">
            <w:pPr>
              <w:spacing w:before="120" w:after="0" w:line="259" w:lineRule="auto"/>
              <w:jc w:val="right"/>
              <w:rPr>
                <w:rFonts w:eastAsia="Calibri"/>
                <w:b/>
                <w:bCs/>
                <w:szCs w:val="20"/>
              </w:rPr>
            </w:pPr>
            <w:r w:rsidRPr="0040724B">
              <w:rPr>
                <w:rFonts w:eastAsia="Calibri"/>
                <w:b/>
                <w:bCs/>
                <w:szCs w:val="20"/>
              </w:rPr>
              <w:t>Total</w:t>
            </w:r>
          </w:p>
        </w:tc>
      </w:tr>
      <w:tr w:rsidR="00FD30FB" w:rsidRPr="0040724B" w14:paraId="3C1B0046" w14:textId="77777777" w:rsidTr="00FD30FB">
        <w:trPr>
          <w:tblCellSpacing w:w="15" w:type="dxa"/>
        </w:trPr>
        <w:tc>
          <w:tcPr>
            <w:tcW w:w="2223" w:type="dxa"/>
            <w:vAlign w:val="center"/>
            <w:hideMark/>
          </w:tcPr>
          <w:p w14:paraId="059E8089" w14:textId="77777777" w:rsidR="00FD30FB" w:rsidRPr="0040724B" w:rsidRDefault="00FD30FB" w:rsidP="00FD30FB">
            <w:pPr>
              <w:spacing w:before="120" w:after="0" w:line="259" w:lineRule="auto"/>
              <w:jc w:val="left"/>
              <w:rPr>
                <w:rFonts w:eastAsia="Calibri"/>
                <w:szCs w:val="20"/>
              </w:rPr>
            </w:pPr>
            <w:r w:rsidRPr="0040724B">
              <w:rPr>
                <w:rFonts w:eastAsia="Calibri"/>
                <w:szCs w:val="20"/>
              </w:rPr>
              <w:t>Revenues</w:t>
            </w:r>
          </w:p>
        </w:tc>
        <w:tc>
          <w:tcPr>
            <w:tcW w:w="1517" w:type="dxa"/>
            <w:vAlign w:val="center"/>
            <w:hideMark/>
          </w:tcPr>
          <w:p w14:paraId="2CB5BFBE"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3,480.8</w:t>
            </w:r>
          </w:p>
        </w:tc>
        <w:tc>
          <w:tcPr>
            <w:tcW w:w="1517" w:type="dxa"/>
            <w:vAlign w:val="center"/>
            <w:hideMark/>
          </w:tcPr>
          <w:p w14:paraId="5389A9CC"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2,307.2</w:t>
            </w:r>
          </w:p>
        </w:tc>
        <w:tc>
          <w:tcPr>
            <w:tcW w:w="1517" w:type="dxa"/>
            <w:vAlign w:val="center"/>
            <w:hideMark/>
          </w:tcPr>
          <w:p w14:paraId="6343E5C7"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1,529.4</w:t>
            </w:r>
          </w:p>
        </w:tc>
        <w:tc>
          <w:tcPr>
            <w:tcW w:w="1503" w:type="dxa"/>
            <w:vAlign w:val="center"/>
            <w:hideMark/>
          </w:tcPr>
          <w:p w14:paraId="3ED2E7FF"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7,317.4</w:t>
            </w:r>
          </w:p>
        </w:tc>
      </w:tr>
      <w:tr w:rsidR="00FD30FB" w:rsidRPr="0040724B" w14:paraId="1DA71140" w14:textId="77777777" w:rsidTr="00FD30FB">
        <w:trPr>
          <w:tblCellSpacing w:w="15" w:type="dxa"/>
        </w:trPr>
        <w:tc>
          <w:tcPr>
            <w:tcW w:w="2223" w:type="dxa"/>
            <w:vAlign w:val="center"/>
            <w:hideMark/>
          </w:tcPr>
          <w:p w14:paraId="72E640B6" w14:textId="77777777" w:rsidR="00FD30FB" w:rsidRPr="0040724B" w:rsidRDefault="00FD30FB" w:rsidP="00FD30FB">
            <w:pPr>
              <w:spacing w:before="120" w:after="0" w:line="259" w:lineRule="auto"/>
              <w:jc w:val="left"/>
              <w:rPr>
                <w:rFonts w:eastAsia="Calibri"/>
                <w:szCs w:val="20"/>
              </w:rPr>
            </w:pPr>
            <w:r w:rsidRPr="0040724B">
              <w:rPr>
                <w:rFonts w:eastAsia="Calibri"/>
                <w:szCs w:val="20"/>
              </w:rPr>
              <w:t>Adjusted EBITDA</w:t>
            </w:r>
          </w:p>
        </w:tc>
        <w:tc>
          <w:tcPr>
            <w:tcW w:w="1517" w:type="dxa"/>
            <w:vAlign w:val="center"/>
            <w:hideMark/>
          </w:tcPr>
          <w:p w14:paraId="064D8AAB"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509.2</w:t>
            </w:r>
          </w:p>
        </w:tc>
        <w:tc>
          <w:tcPr>
            <w:tcW w:w="1517" w:type="dxa"/>
            <w:vAlign w:val="center"/>
            <w:hideMark/>
          </w:tcPr>
          <w:p w14:paraId="67CD8208"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774.1</w:t>
            </w:r>
          </w:p>
        </w:tc>
        <w:tc>
          <w:tcPr>
            <w:tcW w:w="1517" w:type="dxa"/>
            <w:vAlign w:val="center"/>
            <w:hideMark/>
          </w:tcPr>
          <w:p w14:paraId="52026AC9"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802.5</w:t>
            </w:r>
          </w:p>
        </w:tc>
        <w:tc>
          <w:tcPr>
            <w:tcW w:w="1503" w:type="dxa"/>
            <w:vAlign w:val="center"/>
            <w:hideMark/>
          </w:tcPr>
          <w:p w14:paraId="41C780DA"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2,085.8</w:t>
            </w:r>
          </w:p>
        </w:tc>
      </w:tr>
      <w:tr w:rsidR="00FD30FB" w:rsidRPr="0040724B" w14:paraId="6D1D2F4C" w14:textId="77777777" w:rsidTr="00FD30FB">
        <w:trPr>
          <w:tblCellSpacing w:w="15" w:type="dxa"/>
        </w:trPr>
        <w:tc>
          <w:tcPr>
            <w:tcW w:w="2223" w:type="dxa"/>
            <w:vAlign w:val="center"/>
            <w:hideMark/>
          </w:tcPr>
          <w:p w14:paraId="2D4D86DD" w14:textId="77777777" w:rsidR="00FD30FB" w:rsidRPr="0040724B" w:rsidRDefault="00FD30FB" w:rsidP="00FD30FB">
            <w:pPr>
              <w:spacing w:before="120" w:after="0" w:line="259" w:lineRule="auto"/>
              <w:jc w:val="left"/>
              <w:rPr>
                <w:rFonts w:eastAsia="Calibri"/>
                <w:szCs w:val="20"/>
              </w:rPr>
            </w:pPr>
            <w:r w:rsidRPr="0040724B">
              <w:rPr>
                <w:rFonts w:eastAsia="Calibri"/>
                <w:szCs w:val="20"/>
              </w:rPr>
              <w:t>Adjusted EBITDA margin in %</w:t>
            </w:r>
          </w:p>
        </w:tc>
        <w:tc>
          <w:tcPr>
            <w:tcW w:w="1517" w:type="dxa"/>
            <w:vAlign w:val="center"/>
            <w:hideMark/>
          </w:tcPr>
          <w:p w14:paraId="123B921F"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14.6%</w:t>
            </w:r>
          </w:p>
        </w:tc>
        <w:tc>
          <w:tcPr>
            <w:tcW w:w="1517" w:type="dxa"/>
            <w:vAlign w:val="center"/>
            <w:hideMark/>
          </w:tcPr>
          <w:p w14:paraId="12616DD4"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33.6%</w:t>
            </w:r>
          </w:p>
        </w:tc>
        <w:tc>
          <w:tcPr>
            <w:tcW w:w="1517" w:type="dxa"/>
            <w:vAlign w:val="center"/>
            <w:hideMark/>
          </w:tcPr>
          <w:p w14:paraId="3EBF2B31"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52.5%</w:t>
            </w:r>
          </w:p>
        </w:tc>
        <w:tc>
          <w:tcPr>
            <w:tcW w:w="1503" w:type="dxa"/>
            <w:vAlign w:val="center"/>
            <w:hideMark/>
          </w:tcPr>
          <w:p w14:paraId="46E8D416" w14:textId="77777777" w:rsidR="00FD30FB" w:rsidRPr="0040724B" w:rsidRDefault="00FD30FB" w:rsidP="00FD30FB">
            <w:pPr>
              <w:spacing w:before="120" w:after="0" w:line="259" w:lineRule="auto"/>
              <w:jc w:val="right"/>
              <w:rPr>
                <w:rFonts w:eastAsia="Calibri"/>
                <w:szCs w:val="20"/>
              </w:rPr>
            </w:pPr>
            <w:r w:rsidRPr="0040724B">
              <w:rPr>
                <w:rFonts w:eastAsia="Calibri"/>
                <w:szCs w:val="20"/>
              </w:rPr>
              <w:t>28.5%</w:t>
            </w:r>
          </w:p>
        </w:tc>
      </w:tr>
    </w:tbl>
    <w:p w14:paraId="6DE7F904" w14:textId="77777777" w:rsidR="00FD30FB" w:rsidRPr="0040724B" w:rsidRDefault="00FD30FB" w:rsidP="000760F9">
      <w:pPr>
        <w:spacing w:before="120" w:after="0" w:line="259" w:lineRule="auto"/>
        <w:rPr>
          <w:rFonts w:eastAsia="Calibri"/>
          <w:szCs w:val="20"/>
        </w:rPr>
      </w:pPr>
    </w:p>
    <w:p w14:paraId="6608B75E" w14:textId="12B1C41A" w:rsidR="000760F9" w:rsidRPr="0040724B" w:rsidRDefault="000760F9" w:rsidP="000760F9">
      <w:pPr>
        <w:spacing w:before="120" w:after="0" w:line="259" w:lineRule="auto"/>
        <w:rPr>
          <w:rFonts w:eastAsia="Calibri"/>
          <w:i/>
          <w:iCs/>
          <w:szCs w:val="20"/>
        </w:rPr>
      </w:pPr>
      <w:r w:rsidRPr="0040724B">
        <w:rPr>
          <w:rFonts w:eastAsia="Calibri"/>
          <w:i/>
          <w:iCs/>
          <w:szCs w:val="20"/>
        </w:rPr>
        <w:t>a.</w:t>
      </w:r>
      <w:r w:rsidRPr="0040724B">
        <w:rPr>
          <w:rFonts w:eastAsia="Calibri"/>
          <w:i/>
          <w:iCs/>
          <w:szCs w:val="20"/>
        </w:rPr>
        <w:tab/>
        <w:t xml:space="preserve">Firearms </w:t>
      </w:r>
      <w:r w:rsidR="00FD30FB" w:rsidRPr="0040724B">
        <w:rPr>
          <w:rFonts w:eastAsia="Calibri"/>
          <w:i/>
          <w:iCs/>
          <w:szCs w:val="20"/>
        </w:rPr>
        <w:t>segment</w:t>
      </w:r>
    </w:p>
    <w:p w14:paraId="776F8642" w14:textId="48BCD251" w:rsidR="000760F9" w:rsidRPr="0040724B" w:rsidRDefault="000760F9" w:rsidP="000760F9">
      <w:pPr>
        <w:spacing w:before="120" w:after="0" w:line="259" w:lineRule="auto"/>
        <w:rPr>
          <w:rFonts w:eastAsia="Calibri"/>
          <w:i/>
          <w:iCs/>
          <w:szCs w:val="20"/>
        </w:rPr>
      </w:pPr>
      <w:r w:rsidRPr="0040724B">
        <w:rPr>
          <w:rFonts w:eastAsia="Calibri"/>
          <w:i/>
          <w:iCs/>
          <w:szCs w:val="20"/>
        </w:rPr>
        <w:t>The firearms segment includes the design, production, assembly and sale of firearms, tactical accessories and optical mounting solutions for the military and law enforcement, personal defense, hunting, sport shooting, and other commercial use.</w:t>
      </w:r>
    </w:p>
    <w:p w14:paraId="53B4FBD4" w14:textId="23B11887" w:rsidR="00FD30FB" w:rsidRPr="0040724B" w:rsidRDefault="00FD30FB" w:rsidP="00FD30FB">
      <w:pPr>
        <w:pStyle w:val="DocText"/>
        <w:rPr>
          <w:rFonts w:ascii="Atyp Colt CZ" w:eastAsia="Calibri" w:hAnsi="Atyp Colt CZ"/>
          <w:szCs w:val="20"/>
          <w:lang w:val="en-US"/>
        </w:rPr>
      </w:pPr>
      <w:r w:rsidRPr="0040724B">
        <w:rPr>
          <w:rFonts w:ascii="Atyp Colt CZ" w:eastAsia="Calibri" w:hAnsi="Atyp Colt CZ"/>
          <w:szCs w:val="20"/>
          <w:lang w:val="en-US"/>
        </w:rPr>
        <w:t xml:space="preserve">In the first three months of 2026, the number of sold firearms declined by 22.0% to 122,787 units, mainly due to seasonal effects in the military and law enforcement segment and changes in the sales mix structure. </w:t>
      </w:r>
      <w:r w:rsidR="00822D9E" w:rsidRPr="0040724B">
        <w:rPr>
          <w:rFonts w:ascii="Atyp Colt CZ" w:eastAsia="Calibri" w:hAnsi="Atyp Colt CZ"/>
          <w:szCs w:val="20"/>
          <w:lang w:val="en-US"/>
        </w:rPr>
        <w:t xml:space="preserve">Despite the overall decline, the number of sold Colt Canada long firearms and CZ handguns in the USA </w:t>
      </w:r>
      <w:r w:rsidR="0040724B" w:rsidRPr="0040724B">
        <w:rPr>
          <w:rFonts w:ascii="Atyp Colt CZ" w:eastAsia="Calibri" w:hAnsi="Atyp Colt CZ"/>
          <w:szCs w:val="20"/>
          <w:lang w:val="en-US"/>
        </w:rPr>
        <w:t>increased. Sales</w:t>
      </w:r>
      <w:r w:rsidRPr="0040724B">
        <w:rPr>
          <w:rFonts w:ascii="Atyp Colt CZ" w:eastAsia="Calibri" w:hAnsi="Atyp Colt CZ"/>
          <w:szCs w:val="20"/>
          <w:lang w:val="en-US"/>
        </w:rPr>
        <w:t xml:space="preserve"> on the US commercial market recorded a slight increase for both key brands – Colt and CZ. </w:t>
      </w:r>
    </w:p>
    <w:p w14:paraId="048A61E5" w14:textId="75839340" w:rsidR="009E7287" w:rsidRPr="0040724B" w:rsidRDefault="009E7287" w:rsidP="00FD30FB">
      <w:pPr>
        <w:pStyle w:val="DocText"/>
        <w:rPr>
          <w:rStyle w:val="Zdraznn"/>
          <w:rFonts w:eastAsia="Calibri"/>
          <w:szCs w:val="20"/>
          <w:lang w:val="en-US"/>
        </w:rPr>
      </w:pPr>
      <w:r w:rsidRPr="0040724B">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418"/>
        <w:gridCol w:w="1793"/>
        <w:gridCol w:w="1793"/>
        <w:gridCol w:w="1784"/>
      </w:tblGrid>
      <w:tr w:rsidR="00FD30FB" w:rsidRPr="0040724B" w14:paraId="66CB0658" w14:textId="77777777" w:rsidTr="00FD30FB">
        <w:trPr>
          <w:trHeight w:val="464"/>
        </w:trPr>
        <w:tc>
          <w:tcPr>
            <w:tcW w:w="1945" w:type="pct"/>
            <w:vAlign w:val="center"/>
          </w:tcPr>
          <w:p w14:paraId="618DF303" w14:textId="77777777" w:rsidR="00FD30FB" w:rsidRPr="0040724B" w:rsidRDefault="00FD30FB" w:rsidP="00FD30FB">
            <w:pPr>
              <w:pStyle w:val="ClientNormal"/>
              <w:spacing w:before="120"/>
              <w:rPr>
                <w:rFonts w:ascii="Atyp Colt CZ" w:eastAsia="Calibri" w:hAnsi="Atyp Colt CZ"/>
                <w:szCs w:val="20"/>
                <w:lang w:val="en-US"/>
              </w:rPr>
            </w:pPr>
            <w:r w:rsidRPr="0040724B">
              <w:rPr>
                <w:rFonts w:ascii="Atyp Colt CZ" w:eastAsia="Calibri" w:hAnsi="Atyp Colt CZ"/>
                <w:szCs w:val="20"/>
                <w:lang w:val="en-US"/>
              </w:rPr>
              <w:t>In units</w:t>
            </w:r>
          </w:p>
        </w:tc>
        <w:tc>
          <w:tcPr>
            <w:tcW w:w="1020" w:type="pct"/>
          </w:tcPr>
          <w:p w14:paraId="59273479" w14:textId="38634D92" w:rsidR="00FD30FB" w:rsidRPr="0040724B" w:rsidRDefault="00FD30FB" w:rsidP="00FD30FB">
            <w:pPr>
              <w:pStyle w:val="ClientNormal"/>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Q1 2026</w:t>
            </w:r>
          </w:p>
        </w:tc>
        <w:tc>
          <w:tcPr>
            <w:tcW w:w="1020" w:type="pct"/>
          </w:tcPr>
          <w:p w14:paraId="242F71DE" w14:textId="7F902D4F" w:rsidR="00FD30FB" w:rsidRPr="0040724B" w:rsidRDefault="00FD30FB" w:rsidP="00FD30FB">
            <w:pPr>
              <w:pStyle w:val="ClientNormal"/>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Q1 2025</w:t>
            </w:r>
          </w:p>
        </w:tc>
        <w:tc>
          <w:tcPr>
            <w:tcW w:w="1015" w:type="pct"/>
          </w:tcPr>
          <w:p w14:paraId="1AE1E2EB" w14:textId="7F927DDC" w:rsidR="00FD30FB" w:rsidRPr="0040724B" w:rsidRDefault="00FD30FB" w:rsidP="00FD30FB">
            <w:pPr>
              <w:pStyle w:val="ClientNormal"/>
              <w:spacing w:before="120"/>
              <w:jc w:val="right"/>
              <w:rPr>
                <w:rFonts w:ascii="Atyp Colt CZ" w:eastAsia="Calibri" w:hAnsi="Atyp Colt CZ"/>
                <w:szCs w:val="20"/>
                <w:lang w:val="en-US"/>
              </w:rPr>
            </w:pPr>
            <w:r w:rsidRPr="0040724B">
              <w:rPr>
                <w:rFonts w:ascii="Atyp Colt CZ" w:eastAsia="Calibri" w:hAnsi="Atyp Colt CZ" w:cs="Calibri"/>
                <w:szCs w:val="20"/>
                <w:lang w:val="en-US"/>
              </w:rPr>
              <w:t>Change in %</w:t>
            </w:r>
          </w:p>
        </w:tc>
      </w:tr>
      <w:tr w:rsidR="00FD30FB" w:rsidRPr="0040724B" w14:paraId="3BA82104" w14:textId="77777777" w:rsidTr="00FD30FB">
        <w:trPr>
          <w:trHeight w:val="283"/>
        </w:trPr>
        <w:tc>
          <w:tcPr>
            <w:tcW w:w="1945" w:type="pct"/>
          </w:tcPr>
          <w:p w14:paraId="1CE7AB00" w14:textId="2BCB6126" w:rsidR="00FD30FB" w:rsidRPr="0040724B" w:rsidRDefault="00FD30FB" w:rsidP="00FD30FB">
            <w:pPr>
              <w:pStyle w:val="ClientNormal"/>
              <w:spacing w:before="120"/>
              <w:rPr>
                <w:rFonts w:ascii="Atyp Colt CZ" w:eastAsia="Calibri" w:hAnsi="Atyp Colt CZ" w:cs="Calibri"/>
                <w:szCs w:val="20"/>
                <w:lang w:val="en-US"/>
              </w:rPr>
            </w:pPr>
            <w:r w:rsidRPr="0040724B">
              <w:rPr>
                <w:rFonts w:ascii="Atyp Colt CZ" w:hAnsi="Atyp Colt CZ"/>
                <w:szCs w:val="20"/>
                <w:lang w:val="en-US"/>
              </w:rPr>
              <w:t>Handguns</w:t>
            </w:r>
          </w:p>
        </w:tc>
        <w:tc>
          <w:tcPr>
            <w:tcW w:w="1020" w:type="pct"/>
          </w:tcPr>
          <w:p w14:paraId="4E8C47BE" w14:textId="782DE70A" w:rsidR="00FD30FB" w:rsidRPr="0040724B" w:rsidRDefault="00FD30FB" w:rsidP="00FD30FB">
            <w:pPr>
              <w:pStyle w:val="ClientNormal"/>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73,825</w:t>
            </w:r>
          </w:p>
        </w:tc>
        <w:tc>
          <w:tcPr>
            <w:tcW w:w="1020" w:type="pct"/>
            <w:vAlign w:val="bottom"/>
          </w:tcPr>
          <w:p w14:paraId="0E8EB3CA" w14:textId="5014F1C7" w:rsidR="00FD30FB" w:rsidRPr="0040724B" w:rsidRDefault="00FD30FB" w:rsidP="00FD30FB">
            <w:pPr>
              <w:pStyle w:val="ClientNormal"/>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97,786</w:t>
            </w:r>
          </w:p>
        </w:tc>
        <w:tc>
          <w:tcPr>
            <w:tcW w:w="1015" w:type="pct"/>
            <w:vAlign w:val="center"/>
          </w:tcPr>
          <w:p w14:paraId="2E48D88B" w14:textId="40C8D876" w:rsidR="00FD30FB" w:rsidRPr="0040724B" w:rsidRDefault="00FD30FB" w:rsidP="00FD30FB">
            <w:pPr>
              <w:pStyle w:val="ClientNormal"/>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(24.5%)</w:t>
            </w:r>
          </w:p>
        </w:tc>
      </w:tr>
      <w:tr w:rsidR="00FD30FB" w:rsidRPr="0040724B" w14:paraId="64460C43" w14:textId="77777777" w:rsidTr="00FD30FB">
        <w:trPr>
          <w:trHeight w:val="283"/>
        </w:trPr>
        <w:tc>
          <w:tcPr>
            <w:tcW w:w="1945" w:type="pct"/>
          </w:tcPr>
          <w:p w14:paraId="3C076C19" w14:textId="1934FA99" w:rsidR="00FD30FB" w:rsidRPr="0040724B" w:rsidRDefault="00FD30FB" w:rsidP="00FD30FB">
            <w:pPr>
              <w:pStyle w:val="ClientNormal"/>
              <w:spacing w:before="120"/>
              <w:rPr>
                <w:rFonts w:ascii="Atyp Colt CZ" w:eastAsia="Calibri" w:hAnsi="Atyp Colt CZ" w:cs="Calibri"/>
                <w:szCs w:val="20"/>
                <w:lang w:val="en-US"/>
              </w:rPr>
            </w:pPr>
            <w:r w:rsidRPr="0040724B">
              <w:rPr>
                <w:rFonts w:ascii="Atyp Colt CZ" w:hAnsi="Atyp Colt CZ"/>
                <w:szCs w:val="20"/>
                <w:lang w:val="en-US"/>
              </w:rPr>
              <w:t>Long firearms</w:t>
            </w:r>
          </w:p>
        </w:tc>
        <w:tc>
          <w:tcPr>
            <w:tcW w:w="1020" w:type="pct"/>
          </w:tcPr>
          <w:p w14:paraId="521C2B3F" w14:textId="47016E65" w:rsidR="00FD30FB" w:rsidRPr="0040724B" w:rsidRDefault="00FD30FB" w:rsidP="00FD30FB">
            <w:pPr>
              <w:pStyle w:val="ClientNormal"/>
              <w:pBdr>
                <w:bottom w:val="single" w:sz="4" w:space="1" w:color="auto"/>
              </w:pBdr>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48,962</w:t>
            </w:r>
          </w:p>
        </w:tc>
        <w:tc>
          <w:tcPr>
            <w:tcW w:w="1020" w:type="pct"/>
            <w:vAlign w:val="center"/>
          </w:tcPr>
          <w:p w14:paraId="2F9A8ECB" w14:textId="76A925CD" w:rsidR="00FD30FB" w:rsidRPr="0040724B" w:rsidRDefault="00FD30FB" w:rsidP="00FD30FB">
            <w:pPr>
              <w:pStyle w:val="ClientNormal"/>
              <w:pBdr>
                <w:bottom w:val="single" w:sz="4" w:space="1" w:color="auto"/>
              </w:pBdr>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59,577</w:t>
            </w:r>
          </w:p>
        </w:tc>
        <w:tc>
          <w:tcPr>
            <w:tcW w:w="1015" w:type="pct"/>
          </w:tcPr>
          <w:p w14:paraId="2B2C79B6" w14:textId="69AF0364" w:rsidR="00FD30FB" w:rsidRPr="0040724B" w:rsidRDefault="00FD30FB" w:rsidP="00FD30FB">
            <w:pPr>
              <w:pStyle w:val="ClientNormal"/>
              <w:pBdr>
                <w:bottom w:val="single" w:sz="4" w:space="1" w:color="auto"/>
              </w:pBdr>
              <w:spacing w:before="120"/>
              <w:jc w:val="right"/>
              <w:rPr>
                <w:rFonts w:ascii="Atyp Colt CZ" w:eastAsia="Calibri" w:hAnsi="Atyp Colt CZ" w:cs="Calibri"/>
                <w:szCs w:val="20"/>
                <w:lang w:val="en-US"/>
              </w:rPr>
            </w:pPr>
            <w:r w:rsidRPr="0040724B">
              <w:rPr>
                <w:rFonts w:ascii="Atyp Colt CZ" w:eastAsia="Calibri" w:hAnsi="Atyp Colt CZ" w:cs="Calibri"/>
                <w:szCs w:val="20"/>
                <w:lang w:val="en-US"/>
              </w:rPr>
              <w:t>(17.8%)</w:t>
            </w:r>
          </w:p>
        </w:tc>
      </w:tr>
      <w:tr w:rsidR="00FD30FB" w:rsidRPr="0040724B" w14:paraId="3D176091" w14:textId="77777777" w:rsidTr="00FD30FB">
        <w:trPr>
          <w:trHeight w:val="283"/>
        </w:trPr>
        <w:tc>
          <w:tcPr>
            <w:tcW w:w="1945" w:type="pct"/>
            <w:vAlign w:val="center"/>
          </w:tcPr>
          <w:p w14:paraId="6E515BAD" w14:textId="1CC73C88" w:rsidR="00FD30FB" w:rsidRPr="0040724B" w:rsidRDefault="00FD30FB" w:rsidP="00FD30FB">
            <w:pPr>
              <w:pStyle w:val="ClientNormal"/>
              <w:spacing w:before="120"/>
              <w:rPr>
                <w:rFonts w:ascii="Atyp Colt CZ" w:eastAsia="Calibri" w:hAnsi="Atyp Colt CZ" w:cs="Calibri"/>
                <w:b/>
                <w:bCs/>
                <w:szCs w:val="20"/>
                <w:lang w:val="en-US"/>
              </w:rPr>
            </w:pPr>
            <w:r w:rsidRPr="0040724B">
              <w:rPr>
                <w:rFonts w:ascii="Atyp Colt CZ" w:hAnsi="Atyp Colt CZ" w:cs="Calibri"/>
                <w:b/>
                <w:bCs/>
                <w:szCs w:val="20"/>
                <w:lang w:val="en-US"/>
              </w:rPr>
              <w:t>Total firearms</w:t>
            </w:r>
          </w:p>
        </w:tc>
        <w:tc>
          <w:tcPr>
            <w:tcW w:w="1020" w:type="pct"/>
          </w:tcPr>
          <w:p w14:paraId="1D8FAE6A" w14:textId="0566B346" w:rsidR="00FD30FB" w:rsidRPr="0040724B" w:rsidRDefault="00FD30FB" w:rsidP="00FD30FB">
            <w:pPr>
              <w:pStyle w:val="ClientNormal"/>
              <w:pBdr>
                <w:bottom w:val="double" w:sz="4" w:space="1" w:color="auto"/>
              </w:pBdr>
              <w:spacing w:before="120"/>
              <w:jc w:val="right"/>
              <w:rPr>
                <w:rFonts w:ascii="Atyp Colt CZ" w:eastAsia="Calibri" w:hAnsi="Atyp Colt CZ" w:cs="Calibri"/>
                <w:b/>
                <w:bCs/>
                <w:szCs w:val="20"/>
                <w:lang w:val="en-US"/>
              </w:rPr>
            </w:pPr>
            <w:r w:rsidRPr="0040724B">
              <w:rPr>
                <w:rFonts w:ascii="Atyp Colt CZ" w:eastAsia="Calibri" w:hAnsi="Atyp Colt CZ" w:cs="Calibri"/>
                <w:b/>
                <w:bCs/>
                <w:szCs w:val="20"/>
                <w:lang w:val="en-US"/>
              </w:rPr>
              <w:t>122,787</w:t>
            </w:r>
          </w:p>
        </w:tc>
        <w:tc>
          <w:tcPr>
            <w:tcW w:w="1020" w:type="pct"/>
            <w:vAlign w:val="center"/>
          </w:tcPr>
          <w:p w14:paraId="5237C773" w14:textId="1DB400CE" w:rsidR="00FD30FB" w:rsidRPr="0040724B" w:rsidRDefault="00FD30FB" w:rsidP="00FD30FB">
            <w:pPr>
              <w:pStyle w:val="ClientNormal"/>
              <w:pBdr>
                <w:bottom w:val="double" w:sz="4" w:space="1" w:color="auto"/>
              </w:pBdr>
              <w:spacing w:before="120"/>
              <w:jc w:val="right"/>
              <w:rPr>
                <w:rFonts w:ascii="Atyp Colt CZ" w:eastAsia="Calibri" w:hAnsi="Atyp Colt CZ" w:cs="Calibri"/>
                <w:b/>
                <w:bCs/>
                <w:szCs w:val="20"/>
                <w:lang w:val="en-US"/>
              </w:rPr>
            </w:pPr>
            <w:r w:rsidRPr="0040724B">
              <w:rPr>
                <w:rFonts w:ascii="Atyp Colt CZ" w:eastAsia="Calibri" w:hAnsi="Atyp Colt CZ" w:cs="Calibri"/>
                <w:b/>
                <w:bCs/>
                <w:szCs w:val="20"/>
                <w:lang w:val="en-US"/>
              </w:rPr>
              <w:t>157,363</w:t>
            </w:r>
          </w:p>
        </w:tc>
        <w:tc>
          <w:tcPr>
            <w:tcW w:w="1015" w:type="pct"/>
            <w:vAlign w:val="center"/>
          </w:tcPr>
          <w:p w14:paraId="403B46C9" w14:textId="2CB55A36" w:rsidR="00FD30FB" w:rsidRPr="0040724B" w:rsidRDefault="00FD30FB" w:rsidP="00FD30FB">
            <w:pPr>
              <w:pStyle w:val="ClientNormal"/>
              <w:pBdr>
                <w:bottom w:val="double" w:sz="4" w:space="1" w:color="auto"/>
              </w:pBdr>
              <w:spacing w:before="120"/>
              <w:jc w:val="right"/>
              <w:rPr>
                <w:rFonts w:ascii="Atyp Colt CZ" w:eastAsia="Calibri" w:hAnsi="Atyp Colt CZ" w:cs="Calibri"/>
                <w:b/>
                <w:bCs/>
                <w:szCs w:val="20"/>
                <w:lang w:val="en-US"/>
              </w:rPr>
            </w:pPr>
            <w:r w:rsidRPr="0040724B">
              <w:rPr>
                <w:rFonts w:ascii="Atyp Colt CZ" w:eastAsia="Calibri" w:hAnsi="Atyp Colt CZ" w:cs="Calibri"/>
                <w:b/>
                <w:bCs/>
                <w:szCs w:val="20"/>
                <w:lang w:val="en-US"/>
              </w:rPr>
              <w:t>(22.0%)</w:t>
            </w:r>
          </w:p>
        </w:tc>
      </w:tr>
    </w:tbl>
    <w:p w14:paraId="2E018CD1" w14:textId="2BB43D69" w:rsidR="00FD30FB" w:rsidRPr="0040724B" w:rsidRDefault="00FD30FB" w:rsidP="5207FD54">
      <w:pPr>
        <w:spacing w:before="120" w:line="276" w:lineRule="auto"/>
        <w:rPr>
          <w:rStyle w:val="Zdraznn"/>
          <w:rFonts w:eastAsia="Calibri"/>
          <w:b w:val="0"/>
        </w:rPr>
      </w:pPr>
      <w:r w:rsidRPr="0040724B">
        <w:rPr>
          <w:rStyle w:val="Zdraznn"/>
          <w:rFonts w:eastAsia="Calibri"/>
          <w:b w:val="0"/>
        </w:rPr>
        <w:t>Despite the decline in sold firearm units, revenues from the firearms segment in the first quarter of 2026 amounted to CZK 3.5 billion, representing a year-on-year increase of 23.3%, primarily thanks to a favorable sales mix and new contracts in the military and law enforcement segment. In terms of profitability, the adjusted EBITDA margin in the firearms segment reached 14.6% in the first quarter of 2026</w:t>
      </w:r>
      <w:r w:rsidR="7B686A82" w:rsidRPr="0040724B">
        <w:rPr>
          <w:rStyle w:val="Zdraznn"/>
          <w:rFonts w:eastAsia="Calibri"/>
          <w:b w:val="0"/>
        </w:rPr>
        <w:t>.</w:t>
      </w:r>
    </w:p>
    <w:p w14:paraId="000832AD" w14:textId="1C9C29F0" w:rsidR="0016667A" w:rsidRPr="0040724B" w:rsidRDefault="0016667A" w:rsidP="0016667A">
      <w:pPr>
        <w:spacing w:before="120" w:line="276" w:lineRule="auto"/>
        <w:rPr>
          <w:rFonts w:eastAsiaTheme="minorEastAsia" w:cs="Calibri"/>
          <w:i/>
          <w:iCs/>
          <w:szCs w:val="20"/>
        </w:rPr>
      </w:pPr>
      <w:r w:rsidRPr="0040724B">
        <w:rPr>
          <w:rFonts w:eastAsiaTheme="minorEastAsia" w:cs="Calibri"/>
          <w:i/>
          <w:iCs/>
          <w:szCs w:val="20"/>
        </w:rPr>
        <w:t>b.</w:t>
      </w:r>
      <w:r w:rsidRPr="0040724B">
        <w:rPr>
          <w:rFonts w:eastAsiaTheme="minorEastAsia" w:cs="Calibri"/>
          <w:i/>
          <w:iCs/>
          <w:szCs w:val="20"/>
        </w:rPr>
        <w:tab/>
        <w:t>Ammunition segment</w:t>
      </w:r>
    </w:p>
    <w:p w14:paraId="410C8D79" w14:textId="199C43C9" w:rsidR="008268DE" w:rsidRDefault="006E17F8" w:rsidP="00BD3D9F">
      <w:pPr>
        <w:spacing w:before="120" w:line="276" w:lineRule="auto"/>
        <w:rPr>
          <w:rFonts w:eastAsiaTheme="minorEastAsia" w:cs="Calibri"/>
          <w:i/>
          <w:iCs/>
          <w:szCs w:val="20"/>
          <w:lang w:val="en-GB"/>
        </w:rPr>
      </w:pPr>
      <w:r w:rsidRPr="006E17F8">
        <w:rPr>
          <w:rFonts w:eastAsiaTheme="minorEastAsia" w:cs="Calibri"/>
          <w:i/>
          <w:iCs/>
          <w:szCs w:val="20"/>
          <w:lang w:val="en-GB"/>
        </w:rPr>
        <w:t>The ammunition segment includes the design, production and sale of small-</w:t>
      </w:r>
      <w:proofErr w:type="spellStart"/>
      <w:r w:rsidRPr="006E17F8">
        <w:rPr>
          <w:rFonts w:eastAsiaTheme="minorEastAsia" w:cs="Calibri"/>
          <w:i/>
          <w:iCs/>
          <w:szCs w:val="20"/>
          <w:lang w:val="en-GB"/>
        </w:rPr>
        <w:t>caliber</w:t>
      </w:r>
      <w:proofErr w:type="spellEnd"/>
      <w:r w:rsidRPr="006E17F8">
        <w:rPr>
          <w:rFonts w:eastAsiaTheme="minorEastAsia" w:cs="Calibri"/>
          <w:i/>
          <w:iCs/>
          <w:szCs w:val="20"/>
          <w:lang w:val="en-GB"/>
        </w:rPr>
        <w:t xml:space="preserve"> ammunition, including pistol and rifle ammunition for military and law enforcement, sport shooting and hunting. The production of shotgun shells complements the small-</w:t>
      </w:r>
      <w:proofErr w:type="spellStart"/>
      <w:r w:rsidRPr="006E17F8">
        <w:rPr>
          <w:rFonts w:eastAsiaTheme="minorEastAsia" w:cs="Calibri"/>
          <w:i/>
          <w:iCs/>
          <w:szCs w:val="20"/>
          <w:lang w:val="en-GB"/>
        </w:rPr>
        <w:t>caliber</w:t>
      </w:r>
      <w:proofErr w:type="spellEnd"/>
      <w:r w:rsidRPr="006E17F8">
        <w:rPr>
          <w:rFonts w:eastAsiaTheme="minorEastAsia" w:cs="Calibri"/>
          <w:i/>
          <w:iCs/>
          <w:szCs w:val="20"/>
          <w:lang w:val="en-GB"/>
        </w:rPr>
        <w:t xml:space="preserve"> ammunition product portfolio. The ammunition segment also includes the production and sale of grenades, other military material and ammunition manufacturing machinery, including its development</w:t>
      </w:r>
      <w:r w:rsidR="008268DE">
        <w:rPr>
          <w:rFonts w:eastAsiaTheme="minorEastAsia" w:cs="Calibri"/>
          <w:i/>
          <w:iCs/>
          <w:szCs w:val="20"/>
          <w:lang w:val="en-GB"/>
        </w:rPr>
        <w:t>.</w:t>
      </w:r>
    </w:p>
    <w:p w14:paraId="74CBB1B9" w14:textId="74CB947E" w:rsidR="00FD30FB" w:rsidRPr="0040724B" w:rsidRDefault="00FD30FB" w:rsidP="00BD3D9F">
      <w:pPr>
        <w:spacing w:before="120" w:line="276" w:lineRule="auto"/>
        <w:rPr>
          <w:rFonts w:eastAsiaTheme="minorEastAsia" w:cs="Calibri"/>
          <w:szCs w:val="20"/>
        </w:rPr>
      </w:pPr>
      <w:r w:rsidRPr="0040724B">
        <w:rPr>
          <w:rFonts w:eastAsiaTheme="minorEastAsia" w:cs="Calibri"/>
          <w:szCs w:val="20"/>
        </w:rPr>
        <w:t xml:space="preserve">The ammunition segment includes revenues from the subsidiaries Sellier &amp; Bellot, swissAA, and the relevant part of revenues of Colt CZ Defence Solutions. In the ammunition segment, the Company achieved revenues of CZK 2.3 billion in the first quarter of 2026, representing a year-on-year decrease of 14.2%, primarily due to lower sales within the Czech ammunition </w:t>
      </w:r>
      <w:r w:rsidRPr="0040724B">
        <w:rPr>
          <w:rFonts w:eastAsiaTheme="minorEastAsia" w:cs="Calibri"/>
          <w:szCs w:val="20"/>
        </w:rPr>
        <w:lastRenderedPageBreak/>
        <w:t>initiative and negative foreign exchange developments. Despite the decline in revenues, the ammunition segment maintains strong profitability. The adjusted EBITDA margin amounted to 33.6%, exceeding the Group’s overall adjusted EBITDA margin by almost 5 percentage points.</w:t>
      </w:r>
    </w:p>
    <w:p w14:paraId="5B0E5E42" w14:textId="171778D5" w:rsidR="00FD30FB" w:rsidRPr="0040724B" w:rsidRDefault="00FD30FB" w:rsidP="00FD30FB">
      <w:pPr>
        <w:spacing w:before="120" w:after="0" w:line="259" w:lineRule="auto"/>
        <w:rPr>
          <w:rFonts w:eastAsia="Calibri"/>
          <w:i/>
          <w:iCs/>
          <w:szCs w:val="20"/>
        </w:rPr>
      </w:pPr>
      <w:r w:rsidRPr="0040724B">
        <w:rPr>
          <w:rFonts w:eastAsia="Calibri"/>
          <w:i/>
          <w:iCs/>
          <w:szCs w:val="20"/>
        </w:rPr>
        <w:t xml:space="preserve">c. </w:t>
      </w:r>
      <w:r w:rsidRPr="0040724B">
        <w:rPr>
          <w:rFonts w:eastAsia="Calibri"/>
          <w:i/>
          <w:iCs/>
          <w:szCs w:val="20"/>
        </w:rPr>
        <w:tab/>
        <w:t>Energetic</w:t>
      </w:r>
      <w:r w:rsidR="00D90D1E">
        <w:rPr>
          <w:rFonts w:eastAsia="Calibri"/>
          <w:i/>
          <w:iCs/>
          <w:szCs w:val="20"/>
        </w:rPr>
        <w:t>s</w:t>
      </w:r>
      <w:r w:rsidRPr="0040724B">
        <w:rPr>
          <w:rFonts w:eastAsia="Calibri"/>
          <w:i/>
          <w:iCs/>
          <w:szCs w:val="20"/>
        </w:rPr>
        <w:t xml:space="preserve"> Segment</w:t>
      </w:r>
    </w:p>
    <w:p w14:paraId="5142EF47" w14:textId="7A8350A0" w:rsidR="00FD30FB" w:rsidRPr="0040724B" w:rsidRDefault="00FD30FB" w:rsidP="00FD30FB">
      <w:pPr>
        <w:spacing w:before="120" w:line="276" w:lineRule="auto"/>
        <w:rPr>
          <w:rFonts w:eastAsiaTheme="minorEastAsia" w:cs="Calibri"/>
          <w:i/>
          <w:iCs/>
          <w:szCs w:val="20"/>
        </w:rPr>
      </w:pPr>
      <w:r w:rsidRPr="0040724B">
        <w:rPr>
          <w:rFonts w:eastAsiaTheme="minorEastAsia" w:cs="Calibri"/>
          <w:i/>
          <w:iCs/>
          <w:szCs w:val="20"/>
        </w:rPr>
        <w:t>The energetic</w:t>
      </w:r>
      <w:r w:rsidR="00D90D1E">
        <w:rPr>
          <w:rFonts w:eastAsiaTheme="minorEastAsia" w:cs="Calibri"/>
          <w:i/>
          <w:iCs/>
          <w:szCs w:val="20"/>
        </w:rPr>
        <w:t>s</w:t>
      </w:r>
      <w:r w:rsidRPr="0040724B">
        <w:rPr>
          <w:rFonts w:eastAsiaTheme="minorEastAsia" w:cs="Calibri"/>
          <w:i/>
          <w:iCs/>
          <w:szCs w:val="20"/>
        </w:rPr>
        <w:t xml:space="preserve"> segment includes the development, production and sale of energetic nitrocellulose used primarily </w:t>
      </w:r>
      <w:proofErr w:type="gramStart"/>
      <w:r w:rsidRPr="0040724B">
        <w:rPr>
          <w:rFonts w:eastAsiaTheme="minorEastAsia" w:cs="Calibri"/>
          <w:i/>
          <w:iCs/>
          <w:szCs w:val="20"/>
        </w:rPr>
        <w:t>for the production of</w:t>
      </w:r>
      <w:proofErr w:type="gramEnd"/>
      <w:r w:rsidRPr="0040724B">
        <w:rPr>
          <w:rFonts w:eastAsiaTheme="minorEastAsia" w:cs="Calibri"/>
          <w:i/>
          <w:iCs/>
          <w:szCs w:val="20"/>
        </w:rPr>
        <w:t xml:space="preserve"> propellants and propellant charges for ammunition, as well as industrial nitrocellulose, oxycellulose for medical use, and selected chemical products. The segment also includes the production and supply of energy for the industrial area in Semtín and Rybitví.</w:t>
      </w:r>
    </w:p>
    <w:p w14:paraId="0FE266D0" w14:textId="495D985C" w:rsidR="00FD30FB" w:rsidRPr="0040724B" w:rsidRDefault="00FD30FB" w:rsidP="5207FD54">
      <w:pPr>
        <w:spacing w:before="120" w:line="276" w:lineRule="auto"/>
        <w:rPr>
          <w:rFonts w:eastAsiaTheme="minorEastAsia" w:cs="Calibri"/>
        </w:rPr>
      </w:pPr>
      <w:r w:rsidRPr="0040724B">
        <w:rPr>
          <w:rFonts w:eastAsiaTheme="minorEastAsia" w:cs="Calibri"/>
        </w:rPr>
        <w:t>The energetic</w:t>
      </w:r>
      <w:r w:rsidR="007650CF">
        <w:rPr>
          <w:rFonts w:eastAsiaTheme="minorEastAsia" w:cs="Calibri"/>
        </w:rPr>
        <w:t>s</w:t>
      </w:r>
      <w:r w:rsidRPr="0040724B">
        <w:rPr>
          <w:rFonts w:eastAsiaTheme="minorEastAsia" w:cs="Calibri"/>
        </w:rPr>
        <w:t xml:space="preserve"> segment generated revenues of CZK 1.5 billion in Q1 2026, representing an increase of 25.3% compared to the same period in 2025. As expected, the energetic</w:t>
      </w:r>
      <w:r w:rsidR="007650CF">
        <w:rPr>
          <w:rFonts w:eastAsiaTheme="minorEastAsia" w:cs="Calibri"/>
        </w:rPr>
        <w:t>s</w:t>
      </w:r>
      <w:r w:rsidRPr="0040724B">
        <w:rPr>
          <w:rFonts w:eastAsiaTheme="minorEastAsia" w:cs="Calibri"/>
        </w:rPr>
        <w:t xml:space="preserve"> segment reported strong profitability. Adjusted EBITDA reached CZK 803 million and the adjusted EBITDA margin amounted to 52.5% in the first quarter of 2026</w:t>
      </w:r>
      <w:r w:rsidR="67E96A7C" w:rsidRPr="0040724B">
        <w:rPr>
          <w:rFonts w:eastAsiaTheme="minorEastAsia" w:cs="Calibri"/>
        </w:rPr>
        <w:t>.</w:t>
      </w:r>
    </w:p>
    <w:p w14:paraId="6F2DFCCA" w14:textId="514F931D" w:rsidR="00BD3D9F" w:rsidRPr="0040724B" w:rsidRDefault="00D77C03" w:rsidP="00BD3D9F">
      <w:pPr>
        <w:spacing w:before="120" w:line="276" w:lineRule="auto"/>
        <w:rPr>
          <w:rFonts w:eastAsiaTheme="minorEastAsia" w:cs="Calibri"/>
          <w:b/>
          <w:szCs w:val="20"/>
        </w:rPr>
      </w:pPr>
      <w:r w:rsidRPr="0040724B">
        <w:rPr>
          <w:rFonts w:eastAsiaTheme="minorEastAsia" w:cs="Calibri"/>
          <w:b/>
          <w:szCs w:val="20"/>
        </w:rPr>
        <w:t xml:space="preserve">EBITDA and </w:t>
      </w:r>
      <w:r w:rsidR="00444BA2" w:rsidRPr="0040724B">
        <w:rPr>
          <w:rFonts w:eastAsiaTheme="minorEastAsia" w:cs="Calibri"/>
          <w:b/>
          <w:szCs w:val="20"/>
        </w:rPr>
        <w:t>A</w:t>
      </w:r>
      <w:r w:rsidR="009E7287" w:rsidRPr="0040724B">
        <w:rPr>
          <w:rFonts w:eastAsiaTheme="minorEastAsia" w:cs="Calibri"/>
          <w:b/>
          <w:szCs w:val="20"/>
        </w:rPr>
        <w:t xml:space="preserve">djusted </w:t>
      </w:r>
      <w:r w:rsidR="0017605D" w:rsidRPr="0040724B">
        <w:rPr>
          <w:rFonts w:eastAsiaTheme="minorEastAsia" w:cs="Calibri"/>
          <w:b/>
          <w:szCs w:val="20"/>
        </w:rPr>
        <w:t>EBITDA</w:t>
      </w:r>
      <w:r w:rsidR="0017605D" w:rsidRPr="0040724B">
        <w:rPr>
          <w:rStyle w:val="Znakapoznpodarou"/>
          <w:rFonts w:eastAsiaTheme="minorEastAsia" w:cs="Calibri"/>
          <w:b/>
          <w:szCs w:val="20"/>
        </w:rPr>
        <w:footnoteReference w:id="3"/>
      </w:r>
    </w:p>
    <w:p w14:paraId="0E2C6A73" w14:textId="26AAEB5F"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The Group’s EBITDA (including extraordinary items) increased in the first three months of 2026 by 43.8% compared with the same period of 2025 to CZK 1.7 billion, thanks to the profitable ammunition segment and the consolidation of the energetic</w:t>
      </w:r>
      <w:r w:rsidR="007650CF">
        <w:rPr>
          <w:rFonts w:eastAsiaTheme="minorEastAsia" w:cs="Calibri"/>
          <w:szCs w:val="20"/>
        </w:rPr>
        <w:t>s</w:t>
      </w:r>
      <w:r w:rsidRPr="0040724B">
        <w:rPr>
          <w:rFonts w:eastAsiaTheme="minorEastAsia" w:cs="Calibri"/>
          <w:szCs w:val="20"/>
        </w:rPr>
        <w:t xml:space="preserve"> segment from January 1, 2026. The Group’s growing profitability was reflected in the EBITDA margin, which reached 23.7% in the first quarter of 2026 compared to 21.9% in the same period last year.</w:t>
      </w:r>
    </w:p>
    <w:p w14:paraId="302939DF"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Adjusted EBITDA for the first three months of 2026 reached CZK 2.1 billion, representing a year-on-year increase of 72.1%. The most significant extraordinary items were one-off expenses related to commodity hedging of Sellier &amp; Bellot and expenses related to inventory revaluation of Synthesia Nitrocellulose. The adjusted EBITDA margin amounted to 28.5% in the first quarter of 2026 compared to 22.0% in the same period last year.</w:t>
      </w:r>
    </w:p>
    <w:p w14:paraId="550481C3" w14:textId="77777777" w:rsidR="001C7703" w:rsidRPr="0040724B" w:rsidRDefault="001C7703" w:rsidP="001C7703">
      <w:pPr>
        <w:spacing w:before="120" w:line="276" w:lineRule="auto"/>
        <w:rPr>
          <w:rFonts w:eastAsiaTheme="minorEastAsia" w:cs="Calibri"/>
          <w:b/>
          <w:szCs w:val="20"/>
        </w:rPr>
      </w:pPr>
      <w:r w:rsidRPr="0040724B">
        <w:rPr>
          <w:rFonts w:eastAsiaTheme="minorEastAsia" w:cs="Calibri"/>
          <w:b/>
          <w:szCs w:val="20"/>
        </w:rPr>
        <w:t>Depreciation and Impact of Purchase Price Allocation of Recent Acquisitions</w:t>
      </w:r>
    </w:p>
    <w:p w14:paraId="28F2F83A"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Total depreciation and amortization in the first quarter of 2026 reached CZK 849.9 million, representing a year-on-year increase of 120.6%. Of this amount, the impact of purchase price allocation related to the acquisition of a 51% stake in Synthesia Nitrocellulose amounted to CZK 422 million and Sellier &amp; Bellot amounted to CZK 150 million.</w:t>
      </w:r>
    </w:p>
    <w:p w14:paraId="2ED603BA" w14:textId="582575E8" w:rsidR="009E7287" w:rsidRPr="0040724B" w:rsidRDefault="009E7287" w:rsidP="001C7703">
      <w:pPr>
        <w:spacing w:before="120" w:line="276" w:lineRule="auto"/>
        <w:rPr>
          <w:rFonts w:eastAsiaTheme="minorEastAsia" w:cs="Calibri"/>
          <w:b/>
          <w:szCs w:val="20"/>
        </w:rPr>
      </w:pPr>
      <w:r w:rsidRPr="0040724B">
        <w:rPr>
          <w:rFonts w:eastAsiaTheme="minorEastAsia" w:cs="Calibri"/>
          <w:b/>
          <w:szCs w:val="20"/>
        </w:rPr>
        <w:t>Profit (loss) before tax</w:t>
      </w:r>
    </w:p>
    <w:p w14:paraId="208A0331" w14:textId="77777777" w:rsidR="001C7703" w:rsidRPr="0040724B" w:rsidRDefault="001C7703" w:rsidP="009E7287">
      <w:pPr>
        <w:spacing w:before="120" w:line="276" w:lineRule="auto"/>
        <w:rPr>
          <w:rFonts w:eastAsiaTheme="minorEastAsia" w:cs="Calibri"/>
          <w:szCs w:val="20"/>
        </w:rPr>
      </w:pPr>
      <w:r w:rsidRPr="0040724B">
        <w:rPr>
          <w:rFonts w:eastAsiaTheme="minorEastAsia" w:cs="Calibri"/>
          <w:szCs w:val="20"/>
        </w:rPr>
        <w:t xml:space="preserve">The Group’s profit before tax increased year-on-year by 32.7% in the first three months of 2026 and reached CZK 917.1 million. Profit before tax in the first quarter of the year was influenced by several factors. Higher operating profitability and a positive result from financial operations had a positive effect. On the other hand, profit before tax was reduced by </w:t>
      </w:r>
      <w:r w:rsidRPr="0040724B">
        <w:rPr>
          <w:rFonts w:eastAsiaTheme="minorEastAsia" w:cs="Calibri"/>
          <w:szCs w:val="20"/>
        </w:rPr>
        <w:lastRenderedPageBreak/>
        <w:t>increased depreciation and amortization influenced by the purchase price allocation of the new acquisition.</w:t>
      </w:r>
    </w:p>
    <w:p w14:paraId="2FFB084A" w14:textId="31262C9B" w:rsidR="009E7287" w:rsidRPr="0040724B" w:rsidRDefault="009E7287" w:rsidP="009E7287">
      <w:pPr>
        <w:spacing w:before="120" w:line="276" w:lineRule="auto"/>
        <w:rPr>
          <w:rFonts w:eastAsiaTheme="minorEastAsia" w:cs="Calibri"/>
          <w:b/>
          <w:szCs w:val="20"/>
        </w:rPr>
      </w:pPr>
      <w:r w:rsidRPr="0040724B">
        <w:rPr>
          <w:rFonts w:eastAsiaTheme="minorEastAsia" w:cs="Calibri"/>
          <w:b/>
          <w:szCs w:val="20"/>
        </w:rPr>
        <w:t>Net profit</w:t>
      </w:r>
      <w:r w:rsidR="004859A5" w:rsidRPr="0040724B">
        <w:rPr>
          <w:rFonts w:eastAsiaTheme="minorEastAsia" w:cs="Calibri"/>
          <w:b/>
          <w:szCs w:val="20"/>
        </w:rPr>
        <w:t xml:space="preserve"> </w:t>
      </w:r>
      <w:r w:rsidRPr="0040724B">
        <w:rPr>
          <w:rFonts w:eastAsiaTheme="minorEastAsia" w:cs="Calibri"/>
          <w:b/>
          <w:szCs w:val="20"/>
        </w:rPr>
        <w:t>/ Adjusted Net profit</w:t>
      </w:r>
      <w:r w:rsidR="00C30947" w:rsidRPr="0040724B">
        <w:rPr>
          <w:rStyle w:val="Znakapoznpodarou"/>
          <w:rFonts w:eastAsiaTheme="minorEastAsia" w:cs="Calibri"/>
          <w:b/>
          <w:szCs w:val="20"/>
        </w:rPr>
        <w:footnoteReference w:id="4"/>
      </w:r>
    </w:p>
    <w:p w14:paraId="2E161A2F" w14:textId="66460AC5" w:rsidR="001C7703" w:rsidRPr="0040724B" w:rsidRDefault="001C7703" w:rsidP="5207FD54">
      <w:pPr>
        <w:spacing w:before="120" w:line="276" w:lineRule="auto"/>
        <w:rPr>
          <w:rFonts w:eastAsiaTheme="minorEastAsia" w:cs="Calibri"/>
        </w:rPr>
      </w:pPr>
      <w:r w:rsidRPr="0040724B">
        <w:rPr>
          <w:rFonts w:eastAsiaTheme="minorEastAsia" w:cs="Calibri"/>
        </w:rPr>
        <w:t>Net profit for the first three months of 2026 increased by 37.0% compared with the same period last year and reached CZK 717.9 million, driven by strong profitability and positive financial result</w:t>
      </w:r>
      <w:r w:rsidR="6C721CE3" w:rsidRPr="0040724B">
        <w:rPr>
          <w:rFonts w:eastAsiaTheme="minorEastAsia" w:cs="Calibri"/>
        </w:rPr>
        <w:t>s</w:t>
      </w:r>
      <w:r w:rsidRPr="0040724B">
        <w:rPr>
          <w:rFonts w:eastAsiaTheme="minorEastAsia" w:cs="Calibri"/>
        </w:rPr>
        <w:t>.</w:t>
      </w:r>
    </w:p>
    <w:p w14:paraId="20F7430F"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Adjusted net profit for the first three months of 2026 increased by 73.9% compared with the same period in 2025 and reached CZK 950.6 million.</w:t>
      </w:r>
    </w:p>
    <w:p w14:paraId="48D462F3" w14:textId="2FEDA31F" w:rsidR="001C7703" w:rsidRPr="0040724B" w:rsidRDefault="001C7703" w:rsidP="5207FD54">
      <w:pPr>
        <w:spacing w:before="120" w:line="276" w:lineRule="auto"/>
        <w:rPr>
          <w:rFonts w:eastAsiaTheme="minorEastAsia" w:cs="Calibri"/>
        </w:rPr>
      </w:pPr>
      <w:r w:rsidRPr="0040724B">
        <w:rPr>
          <w:rFonts w:eastAsiaTheme="minorEastAsia" w:cs="Calibri"/>
        </w:rPr>
        <w:t>Adjusted net profit attributable to owners of the parent company excluding non-controlling interests amounted to CZK 669.9 million for the first three months of 2026, representing a year-on-year increase of 22.6%. Net profit attributable to non-controlling interests amounted to CZK 280.7 million for the first three months of 2026</w:t>
      </w:r>
      <w:r w:rsidR="7AEB807C" w:rsidRPr="0040724B">
        <w:rPr>
          <w:rFonts w:eastAsiaTheme="minorEastAsia" w:cs="Calibri"/>
        </w:rPr>
        <w:t>.</w:t>
      </w:r>
    </w:p>
    <w:p w14:paraId="53CC9B41" w14:textId="138C946F" w:rsidR="009E7287" w:rsidRPr="0040724B" w:rsidRDefault="009E7287" w:rsidP="00CE3C48">
      <w:pPr>
        <w:spacing w:before="120" w:line="276" w:lineRule="auto"/>
        <w:rPr>
          <w:rFonts w:eastAsiaTheme="minorEastAsia" w:cs="Calibri"/>
          <w:b/>
          <w:szCs w:val="20"/>
        </w:rPr>
      </w:pPr>
      <w:r w:rsidRPr="0040724B">
        <w:rPr>
          <w:rFonts w:eastAsiaTheme="minorEastAsia" w:cs="Calibri"/>
          <w:b/>
          <w:szCs w:val="20"/>
        </w:rPr>
        <w:t>Investments</w:t>
      </w:r>
    </w:p>
    <w:p w14:paraId="14639327" w14:textId="06146F36" w:rsidR="001C7703" w:rsidRPr="0040724B" w:rsidRDefault="001C7703" w:rsidP="00CE3C48">
      <w:pPr>
        <w:spacing w:before="120" w:line="276" w:lineRule="auto"/>
        <w:rPr>
          <w:rFonts w:eastAsiaTheme="minorEastAsia" w:cs="Calibri"/>
          <w:bCs/>
          <w:szCs w:val="20"/>
        </w:rPr>
      </w:pPr>
      <w:r w:rsidRPr="0040724B">
        <w:rPr>
          <w:rFonts w:eastAsiaTheme="minorEastAsia" w:cs="Calibri"/>
          <w:bCs/>
          <w:szCs w:val="20"/>
        </w:rPr>
        <w:t xml:space="preserve">The Group’s capital expenditures reached CZK 597.8 million in the first three months of 2026, representing a year-on-year increase of 121.5%. Capital expenditures represented an 8.2% share of total revenues for the </w:t>
      </w:r>
      <w:r w:rsidR="0036103F" w:rsidRPr="0040724B">
        <w:rPr>
          <w:rFonts w:eastAsiaTheme="minorEastAsia" w:cs="Calibri"/>
          <w:bCs/>
          <w:szCs w:val="20"/>
        </w:rPr>
        <w:t>reported</w:t>
      </w:r>
      <w:r w:rsidRPr="0040724B">
        <w:rPr>
          <w:rFonts w:eastAsiaTheme="minorEastAsia" w:cs="Calibri"/>
          <w:bCs/>
          <w:szCs w:val="20"/>
        </w:rPr>
        <w:t xml:space="preserve"> period, which is slightly above the Group’s full-year </w:t>
      </w:r>
      <w:r w:rsidR="0036103F" w:rsidRPr="0040724B">
        <w:rPr>
          <w:rFonts w:eastAsiaTheme="minorEastAsia" w:cs="Calibri"/>
          <w:bCs/>
          <w:szCs w:val="20"/>
        </w:rPr>
        <w:t>guidance</w:t>
      </w:r>
      <w:r w:rsidRPr="0040724B">
        <w:rPr>
          <w:rFonts w:eastAsiaTheme="minorEastAsia" w:cs="Calibri"/>
          <w:bCs/>
          <w:szCs w:val="20"/>
        </w:rPr>
        <w:t xml:space="preserve"> and is influenced by the distribution of capital expenditures across individual quarters. Almost 80% of the total CAPEX was directed to investments in the Czech Republic. More than 50% of capital expenditures were invested into the firearms segment, approximately one-third into the energetic</w:t>
      </w:r>
      <w:r w:rsidR="007650CF">
        <w:rPr>
          <w:rFonts w:eastAsiaTheme="minorEastAsia" w:cs="Calibri"/>
          <w:bCs/>
          <w:szCs w:val="20"/>
        </w:rPr>
        <w:t>s</w:t>
      </w:r>
      <w:r w:rsidRPr="0040724B">
        <w:rPr>
          <w:rFonts w:eastAsiaTheme="minorEastAsia" w:cs="Calibri"/>
          <w:bCs/>
          <w:szCs w:val="20"/>
        </w:rPr>
        <w:t xml:space="preserve"> segment, and approximately 15% into the ammunition segment.</w:t>
      </w:r>
    </w:p>
    <w:p w14:paraId="4634A51E" w14:textId="570FAA7B" w:rsidR="00BD3D9F" w:rsidRPr="0040724B" w:rsidRDefault="009E7287" w:rsidP="00BD3D9F">
      <w:pPr>
        <w:spacing w:before="120" w:line="276" w:lineRule="auto"/>
        <w:rPr>
          <w:rFonts w:eastAsiaTheme="minorEastAsia" w:cs="Calibri"/>
          <w:b/>
          <w:szCs w:val="20"/>
        </w:rPr>
      </w:pPr>
      <w:r w:rsidRPr="0040724B">
        <w:rPr>
          <w:rFonts w:eastAsiaTheme="minorEastAsia" w:cs="Calibri"/>
          <w:b/>
          <w:szCs w:val="20"/>
        </w:rPr>
        <w:t>202</w:t>
      </w:r>
      <w:r w:rsidR="001C7703" w:rsidRPr="0040724B">
        <w:rPr>
          <w:rFonts w:eastAsiaTheme="minorEastAsia" w:cs="Calibri"/>
          <w:b/>
          <w:szCs w:val="20"/>
        </w:rPr>
        <w:t>6</w:t>
      </w:r>
      <w:r w:rsidRPr="0040724B">
        <w:rPr>
          <w:rFonts w:eastAsiaTheme="minorEastAsia" w:cs="Calibri"/>
          <w:b/>
          <w:szCs w:val="20"/>
        </w:rPr>
        <w:t xml:space="preserve"> </w:t>
      </w:r>
      <w:r w:rsidR="009D6D75" w:rsidRPr="0040724B">
        <w:rPr>
          <w:rFonts w:eastAsiaTheme="minorEastAsia" w:cs="Calibri"/>
          <w:b/>
          <w:szCs w:val="20"/>
        </w:rPr>
        <w:t>G</w:t>
      </w:r>
      <w:r w:rsidRPr="0040724B">
        <w:rPr>
          <w:rFonts w:eastAsiaTheme="minorEastAsia" w:cs="Calibri"/>
          <w:b/>
          <w:szCs w:val="20"/>
        </w:rPr>
        <w:t xml:space="preserve">uidance </w:t>
      </w:r>
      <w:r w:rsidR="00ED2FF4" w:rsidRPr="0040724B">
        <w:rPr>
          <w:rFonts w:eastAsiaTheme="minorEastAsia" w:cs="Calibri"/>
          <w:b/>
          <w:szCs w:val="20"/>
        </w:rPr>
        <w:t>confirmed</w:t>
      </w:r>
    </w:p>
    <w:p w14:paraId="4A2AEC22" w14:textId="52AA18D6" w:rsidR="001C7703" w:rsidRPr="0040724B" w:rsidRDefault="001C7703" w:rsidP="001C7703">
      <w:pPr>
        <w:spacing w:before="240" w:line="276" w:lineRule="auto"/>
        <w:rPr>
          <w:rFonts w:eastAsiaTheme="minorEastAsia" w:cs="Calibri"/>
          <w:szCs w:val="20"/>
        </w:rPr>
      </w:pPr>
      <w:r w:rsidRPr="0040724B">
        <w:rPr>
          <w:rFonts w:eastAsiaTheme="minorEastAsia" w:cs="Calibri"/>
          <w:szCs w:val="20"/>
        </w:rPr>
        <w:t>In the outlook for 2026, Colt CZ Group will continue to pursue significant contracts in the military and law enforcement segment, particularly within NATO and EU member states and in cooperation with the NATO Support and Procurement Agency (NSPA). At the same time, it is strengthening its position in other markets, especially in Asia. Successful tenders, timely execution of contracts, and the pace of recovery of the US commercial market will be key to achieving the outlook, while the Company focuses on mitigating the impact of weaker demand and import tariffs through cost control and the launch of new products</w:t>
      </w:r>
      <w:r w:rsidR="00B64409" w:rsidRPr="0040724B">
        <w:rPr>
          <w:rFonts w:eastAsiaTheme="minorEastAsia" w:cs="Calibri"/>
          <w:szCs w:val="20"/>
        </w:rPr>
        <w:t xml:space="preserve"> to the market</w:t>
      </w:r>
      <w:r w:rsidRPr="0040724B">
        <w:rPr>
          <w:rFonts w:eastAsiaTheme="minorEastAsia" w:cs="Calibri"/>
          <w:szCs w:val="20"/>
        </w:rPr>
        <w:t xml:space="preserve">. </w:t>
      </w:r>
      <w:r w:rsidR="0036103F" w:rsidRPr="0040724B">
        <w:rPr>
          <w:rFonts w:eastAsiaTheme="minorEastAsia" w:cs="Calibri"/>
          <w:szCs w:val="20"/>
        </w:rPr>
        <w:t>FX</w:t>
      </w:r>
      <w:r w:rsidRPr="0040724B">
        <w:rPr>
          <w:rFonts w:eastAsiaTheme="minorEastAsia" w:cs="Calibri"/>
          <w:szCs w:val="20"/>
        </w:rPr>
        <w:t xml:space="preserve"> rate</w:t>
      </w:r>
      <w:r w:rsidR="0036103F" w:rsidRPr="0040724B">
        <w:rPr>
          <w:rFonts w:eastAsiaTheme="minorEastAsia" w:cs="Calibri"/>
          <w:szCs w:val="20"/>
        </w:rPr>
        <w:t>s</w:t>
      </w:r>
      <w:r w:rsidRPr="0040724B">
        <w:rPr>
          <w:rFonts w:eastAsiaTheme="minorEastAsia" w:cs="Calibri"/>
          <w:szCs w:val="20"/>
        </w:rPr>
        <w:t xml:space="preserve"> developments of the USD and EUR may have a mildly negative impact on the Group’s performance.</w:t>
      </w:r>
    </w:p>
    <w:p w14:paraId="6BB1A246" w14:textId="58FB19F8" w:rsidR="001C7703" w:rsidRPr="0040724B" w:rsidRDefault="001C7703" w:rsidP="001C7703">
      <w:pPr>
        <w:spacing w:before="240" w:line="276" w:lineRule="auto"/>
        <w:rPr>
          <w:rFonts w:eastAsiaTheme="minorEastAsia" w:cs="Calibri"/>
          <w:szCs w:val="20"/>
        </w:rPr>
      </w:pPr>
      <w:r w:rsidRPr="0040724B">
        <w:rPr>
          <w:rFonts w:eastAsiaTheme="minorEastAsia" w:cs="Calibri"/>
          <w:szCs w:val="20"/>
        </w:rPr>
        <w:t>A significant growth factor in 2026 will also be the new energetic</w:t>
      </w:r>
      <w:r w:rsidR="007650CF">
        <w:rPr>
          <w:rFonts w:eastAsiaTheme="minorEastAsia" w:cs="Calibri"/>
          <w:szCs w:val="20"/>
        </w:rPr>
        <w:t>s</w:t>
      </w:r>
      <w:r w:rsidRPr="0040724B">
        <w:rPr>
          <w:rFonts w:eastAsiaTheme="minorEastAsia" w:cs="Calibri"/>
          <w:szCs w:val="20"/>
        </w:rPr>
        <w:t xml:space="preserve"> segment. Thanks to its high profitability, the Company expects this segment to account for approximately 16% of the Group’s total revenues and around one-third of adjusted EBITDA.</w:t>
      </w:r>
    </w:p>
    <w:p w14:paraId="18AB540A" w14:textId="77777777" w:rsidR="001C7703" w:rsidRPr="0040724B" w:rsidRDefault="001C7703" w:rsidP="001C7703">
      <w:pPr>
        <w:spacing w:before="240" w:line="276" w:lineRule="auto"/>
        <w:rPr>
          <w:rFonts w:eastAsiaTheme="minorEastAsia" w:cs="Calibri"/>
          <w:szCs w:val="20"/>
        </w:rPr>
      </w:pPr>
      <w:r w:rsidRPr="0040724B">
        <w:rPr>
          <w:rFonts w:eastAsiaTheme="minorEastAsia" w:cs="Calibri"/>
          <w:szCs w:val="20"/>
        </w:rPr>
        <w:lastRenderedPageBreak/>
        <w:t>In view of the above-mentioned facts, the Group confirms its 2026 outlook within the originally communicated range.</w:t>
      </w:r>
    </w:p>
    <w:tbl>
      <w:tblPr>
        <w:tblW w:w="5000" w:type="pct"/>
        <w:tblLook w:val="04A0" w:firstRow="1" w:lastRow="0" w:firstColumn="1" w:lastColumn="0" w:noHBand="0" w:noVBand="1"/>
      </w:tblPr>
      <w:tblGrid>
        <w:gridCol w:w="2432"/>
        <w:gridCol w:w="1964"/>
        <w:gridCol w:w="2246"/>
        <w:gridCol w:w="2146"/>
      </w:tblGrid>
      <w:tr w:rsidR="001C7703" w:rsidRPr="0040724B" w14:paraId="005ACD2A" w14:textId="77777777">
        <w:tc>
          <w:tcPr>
            <w:tcW w:w="1383" w:type="pct"/>
            <w:hideMark/>
          </w:tcPr>
          <w:p w14:paraId="21EBC50A"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In million CZK</w:t>
            </w:r>
          </w:p>
        </w:tc>
        <w:tc>
          <w:tcPr>
            <w:tcW w:w="1117" w:type="pct"/>
            <w:tcBorders>
              <w:bottom w:val="single" w:sz="4" w:space="0" w:color="666666" w:themeColor="text1" w:themeTint="99"/>
            </w:tcBorders>
            <w:hideMark/>
          </w:tcPr>
          <w:p w14:paraId="6CF2E693"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FY 2025</w:t>
            </w:r>
          </w:p>
        </w:tc>
        <w:tc>
          <w:tcPr>
            <w:tcW w:w="1278" w:type="pct"/>
            <w:tcBorders>
              <w:bottom w:val="single" w:sz="4" w:space="0" w:color="666666" w:themeColor="text1" w:themeTint="99"/>
            </w:tcBorders>
            <w:hideMark/>
          </w:tcPr>
          <w:p w14:paraId="3D847C5B"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FY 2025 proforma including Energetics</w:t>
            </w:r>
          </w:p>
        </w:tc>
        <w:tc>
          <w:tcPr>
            <w:tcW w:w="1221" w:type="pct"/>
            <w:tcBorders>
              <w:bottom w:val="single" w:sz="4" w:space="0" w:color="666666" w:themeColor="text1" w:themeTint="99"/>
            </w:tcBorders>
            <w:hideMark/>
          </w:tcPr>
          <w:p w14:paraId="1EA378B7"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 xml:space="preserve">FY 2026 Guidance </w:t>
            </w:r>
          </w:p>
        </w:tc>
      </w:tr>
      <w:tr w:rsidR="001C7703" w:rsidRPr="0040724B" w14:paraId="4BD19080" w14:textId="77777777">
        <w:tc>
          <w:tcPr>
            <w:tcW w:w="1383" w:type="pct"/>
            <w:tcBorders>
              <w:right w:val="single" w:sz="4" w:space="0" w:color="666666" w:themeColor="text1" w:themeTint="99"/>
            </w:tcBorders>
            <w:hideMark/>
          </w:tcPr>
          <w:p w14:paraId="367D7F14" w14:textId="77777777" w:rsidR="001C7703" w:rsidRPr="0040724B" w:rsidRDefault="001C7703" w:rsidP="001C7703">
            <w:pPr>
              <w:spacing w:before="120" w:line="276" w:lineRule="auto"/>
              <w:rPr>
                <w:rFonts w:eastAsiaTheme="minorEastAsia" w:cs="Calibri"/>
                <w:b/>
                <w:bCs/>
                <w:szCs w:val="20"/>
              </w:rPr>
            </w:pPr>
            <w:r w:rsidRPr="0040724B">
              <w:rPr>
                <w:rFonts w:eastAsiaTheme="minorEastAsia" w:cs="Calibri"/>
                <w:b/>
                <w:bCs/>
                <w:szCs w:val="20"/>
              </w:rPr>
              <w:t xml:space="preserve">Colt CZ Group </w:t>
            </w:r>
          </w:p>
        </w:tc>
        <w:tc>
          <w:tcPr>
            <w:tcW w:w="1117"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780EC4D" w14:textId="77777777" w:rsidR="001C7703" w:rsidRPr="0040724B" w:rsidRDefault="001C7703" w:rsidP="001C7703">
            <w:pPr>
              <w:spacing w:before="120" w:line="276" w:lineRule="auto"/>
              <w:rPr>
                <w:rFonts w:eastAsiaTheme="minorEastAsia" w:cs="Calibri"/>
                <w:szCs w:val="20"/>
              </w:rPr>
            </w:pPr>
          </w:p>
        </w:tc>
        <w:tc>
          <w:tcPr>
            <w:tcW w:w="1278"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F5F327" w14:textId="77777777" w:rsidR="001C7703" w:rsidRPr="0040724B" w:rsidRDefault="001C7703" w:rsidP="001C7703">
            <w:pPr>
              <w:spacing w:before="120" w:line="276" w:lineRule="auto"/>
              <w:rPr>
                <w:rFonts w:eastAsiaTheme="minorEastAsia" w:cs="Calibri"/>
                <w:szCs w:val="20"/>
              </w:rPr>
            </w:pPr>
          </w:p>
        </w:tc>
        <w:tc>
          <w:tcPr>
            <w:tcW w:w="1221"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17E0D50" w14:textId="77777777" w:rsidR="001C7703" w:rsidRPr="0040724B" w:rsidRDefault="001C7703" w:rsidP="001C7703">
            <w:pPr>
              <w:spacing w:before="120" w:line="276" w:lineRule="auto"/>
              <w:rPr>
                <w:rFonts w:eastAsiaTheme="minorEastAsia" w:cs="Calibri"/>
                <w:b/>
                <w:bCs/>
                <w:szCs w:val="20"/>
              </w:rPr>
            </w:pPr>
          </w:p>
        </w:tc>
      </w:tr>
      <w:tr w:rsidR="001C7703" w:rsidRPr="0040724B" w14:paraId="2D3FE91D" w14:textId="77777777">
        <w:tc>
          <w:tcPr>
            <w:tcW w:w="1383" w:type="pct"/>
            <w:tcBorders>
              <w:right w:val="single" w:sz="4" w:space="0" w:color="666666" w:themeColor="text1" w:themeTint="99"/>
            </w:tcBorders>
            <w:hideMark/>
          </w:tcPr>
          <w:p w14:paraId="41A1618E"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Revenues</w:t>
            </w:r>
          </w:p>
        </w:tc>
        <w:tc>
          <w:tcPr>
            <w:tcW w:w="1117"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728635E"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23,399</w:t>
            </w:r>
          </w:p>
        </w:tc>
        <w:tc>
          <w:tcPr>
            <w:tcW w:w="1278"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37904BD"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28,300</w:t>
            </w:r>
          </w:p>
        </w:tc>
        <w:tc>
          <w:tcPr>
            <w:tcW w:w="1221"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4B7763E" w14:textId="77777777" w:rsidR="001C7703" w:rsidRPr="0040724B" w:rsidRDefault="001C7703" w:rsidP="001C7703">
            <w:pPr>
              <w:spacing w:before="120" w:line="276" w:lineRule="auto"/>
              <w:rPr>
                <w:rFonts w:eastAsiaTheme="minorEastAsia" w:cs="Calibri"/>
                <w:b/>
                <w:bCs/>
                <w:szCs w:val="20"/>
              </w:rPr>
            </w:pPr>
            <w:r w:rsidRPr="0040724B">
              <w:rPr>
                <w:rFonts w:eastAsiaTheme="minorEastAsia" w:cs="Calibri"/>
                <w:b/>
                <w:bCs/>
                <w:szCs w:val="20"/>
              </w:rPr>
              <w:t>30,000 - 33,000</w:t>
            </w:r>
          </w:p>
        </w:tc>
      </w:tr>
      <w:tr w:rsidR="001C7703" w:rsidRPr="0040724B" w14:paraId="2CF25DA2" w14:textId="77777777">
        <w:tc>
          <w:tcPr>
            <w:tcW w:w="1383" w:type="pct"/>
            <w:tcBorders>
              <w:right w:val="single" w:sz="4" w:space="0" w:color="666666" w:themeColor="text1" w:themeTint="99"/>
            </w:tcBorders>
            <w:hideMark/>
          </w:tcPr>
          <w:p w14:paraId="07DEC70B"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Adjusted EBITDA</w:t>
            </w:r>
          </w:p>
        </w:tc>
        <w:tc>
          <w:tcPr>
            <w:tcW w:w="1117"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886ABBE"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4,661</w:t>
            </w:r>
          </w:p>
        </w:tc>
        <w:tc>
          <w:tcPr>
            <w:tcW w:w="1278"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1775B16"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7,100</w:t>
            </w:r>
          </w:p>
        </w:tc>
        <w:tc>
          <w:tcPr>
            <w:tcW w:w="1221" w:type="pc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AEE2446" w14:textId="77777777" w:rsidR="001C7703" w:rsidRPr="0040724B" w:rsidRDefault="001C7703" w:rsidP="001C7703">
            <w:pPr>
              <w:spacing w:before="120" w:line="276" w:lineRule="auto"/>
              <w:rPr>
                <w:rFonts w:eastAsiaTheme="minorEastAsia" w:cs="Calibri"/>
                <w:b/>
                <w:bCs/>
                <w:szCs w:val="20"/>
              </w:rPr>
            </w:pPr>
            <w:r w:rsidRPr="0040724B">
              <w:rPr>
                <w:rFonts w:eastAsiaTheme="minorEastAsia" w:cs="Calibri"/>
                <w:b/>
                <w:bCs/>
                <w:szCs w:val="20"/>
              </w:rPr>
              <w:t>7,400 – 8,200</w:t>
            </w:r>
          </w:p>
        </w:tc>
      </w:tr>
    </w:tbl>
    <w:p w14:paraId="68FEDF46" w14:textId="77777777" w:rsidR="001C7703" w:rsidRPr="0040724B" w:rsidRDefault="001C7703" w:rsidP="001C7703">
      <w:pPr>
        <w:spacing w:before="120" w:line="276" w:lineRule="auto"/>
        <w:rPr>
          <w:rFonts w:eastAsiaTheme="minorEastAsia" w:cs="Calibri"/>
          <w:szCs w:val="20"/>
        </w:rPr>
      </w:pPr>
      <w:r w:rsidRPr="0040724B">
        <w:rPr>
          <w:rFonts w:eastAsiaTheme="minorEastAsia" w:cs="Calibri"/>
          <w:szCs w:val="20"/>
        </w:rPr>
        <w:t>The capital expenditures of the Group in 2026 could reach CZK 1.8 – 2 billion, which corresponds to approximately 6% of the expected 2026 revenues, in line with the Company’s medium-term target. Of this amount, EUR 40 million is expected to be allocated to CAPEX in the Energetics segment, aimed at increasing production capacity from 6 thousand to 7 thousand tons.</w:t>
      </w:r>
    </w:p>
    <w:p w14:paraId="05ED45AE" w14:textId="77777777" w:rsidR="000C41AD" w:rsidRPr="0040724B" w:rsidRDefault="000C41AD" w:rsidP="000C41AD">
      <w:pPr>
        <w:spacing w:before="120" w:line="276" w:lineRule="auto"/>
        <w:rPr>
          <w:rFonts w:cs="Calibri"/>
          <w:b/>
          <w:bCs/>
          <w:color w:val="000000" w:themeColor="text1"/>
          <w:szCs w:val="20"/>
          <w:shd w:val="clear" w:color="auto" w:fill="FFFFFF"/>
        </w:rPr>
      </w:pPr>
      <w:r w:rsidRPr="0040724B">
        <w:rPr>
          <w:rFonts w:cs="Calibri"/>
          <w:b/>
          <w:bCs/>
          <w:color w:val="000000" w:themeColor="text1"/>
          <w:szCs w:val="20"/>
          <w:shd w:val="clear" w:color="auto" w:fill="FFFFFF"/>
        </w:rPr>
        <w:t>Proposed Dividend Payment</w:t>
      </w:r>
    </w:p>
    <w:p w14:paraId="22697D09" w14:textId="77777777" w:rsidR="001C7703" w:rsidRPr="0040724B" w:rsidRDefault="001C7703" w:rsidP="000C41AD">
      <w:pPr>
        <w:spacing w:before="120" w:line="276" w:lineRule="auto"/>
        <w:rPr>
          <w:rFonts w:cs="Calibri"/>
          <w:color w:val="000000" w:themeColor="text1"/>
          <w:szCs w:val="20"/>
          <w:shd w:val="clear" w:color="auto" w:fill="FFFFFF"/>
        </w:rPr>
      </w:pPr>
      <w:r w:rsidRPr="0040724B">
        <w:rPr>
          <w:rFonts w:cs="Calibri"/>
          <w:color w:val="000000" w:themeColor="text1"/>
          <w:szCs w:val="20"/>
          <w:shd w:val="clear" w:color="auto" w:fill="FFFFFF"/>
        </w:rPr>
        <w:t>The Company will propose to the General Meeting a dividend payment of CZK 30 per share from 2025 profit. The proposed profit distribution is subject to approval by the General Meeting, which will be held at the end of the first half of 2026.</w:t>
      </w:r>
    </w:p>
    <w:p w14:paraId="06B74821" w14:textId="77777777" w:rsidR="001C7703" w:rsidRPr="0040724B" w:rsidRDefault="001C7703" w:rsidP="001C7703">
      <w:pPr>
        <w:rPr>
          <w:rFonts w:cs="Calibri"/>
          <w:b/>
          <w:bCs/>
          <w:color w:val="000000" w:themeColor="text1"/>
          <w:szCs w:val="20"/>
          <w:shd w:val="clear" w:color="auto" w:fill="FFFFFF"/>
        </w:rPr>
      </w:pPr>
      <w:r w:rsidRPr="0040724B">
        <w:rPr>
          <w:rFonts w:cs="Calibri"/>
          <w:b/>
          <w:bCs/>
          <w:color w:val="000000" w:themeColor="text1"/>
          <w:szCs w:val="20"/>
          <w:shd w:val="clear" w:color="auto" w:fill="FFFFFF"/>
        </w:rPr>
        <w:t>Update on Share Buyback Program</w:t>
      </w:r>
    </w:p>
    <w:p w14:paraId="4056DE8C" w14:textId="456EFA9F" w:rsidR="001C7703" w:rsidRPr="0040724B" w:rsidRDefault="001C7703" w:rsidP="008268DE">
      <w:pPr>
        <w:spacing w:line="276" w:lineRule="auto"/>
        <w:rPr>
          <w:rFonts w:cs="Calibri"/>
          <w:color w:val="000000" w:themeColor="text1"/>
          <w:szCs w:val="20"/>
          <w:shd w:val="clear" w:color="auto" w:fill="FFFFFF"/>
        </w:rPr>
      </w:pPr>
      <w:r w:rsidRPr="0040724B">
        <w:rPr>
          <w:rFonts w:cs="Calibri"/>
          <w:color w:val="000000" w:themeColor="text1"/>
          <w:szCs w:val="20"/>
          <w:shd w:val="clear" w:color="auto" w:fill="FFFFFF"/>
        </w:rPr>
        <w:t xml:space="preserve">In 2025, the Board of Directors approved the allocation of CZK 847 million to a share buyback program (equivalent to 1.15 million shares at the current market price). By the end of 2025, the Company had acquired approximately 265 thousand treasury shares on the market. In the first quarter of 2026, the Company acquired </w:t>
      </w:r>
      <w:r w:rsidR="003D39C3" w:rsidRPr="0040724B">
        <w:rPr>
          <w:rFonts w:cs="Calibri"/>
          <w:color w:val="000000" w:themeColor="text1"/>
          <w:szCs w:val="20"/>
          <w:shd w:val="clear" w:color="auto" w:fill="FFFFFF"/>
        </w:rPr>
        <w:t>57</w:t>
      </w:r>
      <w:r w:rsidRPr="0040724B">
        <w:rPr>
          <w:rFonts w:cs="Calibri"/>
          <w:color w:val="000000" w:themeColor="text1"/>
          <w:szCs w:val="20"/>
          <w:shd w:val="clear" w:color="auto" w:fill="FFFFFF"/>
        </w:rPr>
        <w:t xml:space="preserve"> thousand treasury shares on the market; since the launch of the buyback, a total of </w:t>
      </w:r>
      <w:r w:rsidR="00C85BA4" w:rsidRPr="0040724B">
        <w:rPr>
          <w:rFonts w:cs="Calibri"/>
          <w:color w:val="000000" w:themeColor="text1"/>
          <w:szCs w:val="20"/>
          <w:shd w:val="clear" w:color="auto" w:fill="FFFFFF"/>
        </w:rPr>
        <w:t>approximately 517</w:t>
      </w:r>
      <w:r w:rsidRPr="0040724B">
        <w:rPr>
          <w:rFonts w:cs="Calibri"/>
          <w:color w:val="000000" w:themeColor="text1"/>
          <w:szCs w:val="20"/>
          <w:shd w:val="clear" w:color="auto" w:fill="FFFFFF"/>
        </w:rPr>
        <w:t xml:space="preserve"> thousand shares have been repurchased on the market for a total value of CZK </w:t>
      </w:r>
      <w:r w:rsidR="00C85BA4" w:rsidRPr="0040724B">
        <w:rPr>
          <w:rFonts w:cs="Calibri"/>
          <w:color w:val="000000" w:themeColor="text1"/>
          <w:szCs w:val="20"/>
          <w:shd w:val="clear" w:color="auto" w:fill="FFFFFF"/>
        </w:rPr>
        <w:t>441</w:t>
      </w:r>
      <w:r w:rsidRPr="0040724B">
        <w:rPr>
          <w:rFonts w:cs="Calibri"/>
          <w:color w:val="000000" w:themeColor="text1"/>
          <w:szCs w:val="20"/>
          <w:shd w:val="clear" w:color="auto" w:fill="FFFFFF"/>
        </w:rPr>
        <w:t xml:space="preserve"> million.</w:t>
      </w:r>
    </w:p>
    <w:p w14:paraId="5FA4826A" w14:textId="77777777" w:rsidR="001C7703" w:rsidRPr="0040724B" w:rsidRDefault="001C7703" w:rsidP="001C7703">
      <w:pPr>
        <w:rPr>
          <w:rFonts w:cs="Calibri"/>
          <w:b/>
          <w:bCs/>
          <w:color w:val="000000" w:themeColor="text1"/>
          <w:szCs w:val="20"/>
          <w:shd w:val="clear" w:color="auto" w:fill="FFFFFF"/>
        </w:rPr>
      </w:pPr>
      <w:r w:rsidRPr="0040724B">
        <w:rPr>
          <w:rFonts w:cs="Calibri"/>
          <w:b/>
          <w:bCs/>
          <w:color w:val="000000" w:themeColor="text1"/>
          <w:szCs w:val="20"/>
          <w:shd w:val="clear" w:color="auto" w:fill="FFFFFF"/>
        </w:rPr>
        <w:t>Dual Listing in Amsterdam</w:t>
      </w:r>
    </w:p>
    <w:p w14:paraId="452C0961" w14:textId="77777777" w:rsidR="001C7703" w:rsidRPr="0040724B" w:rsidRDefault="001C7703" w:rsidP="008268DE">
      <w:pPr>
        <w:spacing w:line="276" w:lineRule="auto"/>
        <w:rPr>
          <w:rFonts w:cs="Calibri"/>
          <w:color w:val="000000" w:themeColor="text1"/>
          <w:szCs w:val="20"/>
          <w:shd w:val="clear" w:color="auto" w:fill="FFFFFF"/>
        </w:rPr>
      </w:pPr>
      <w:r w:rsidRPr="0040724B">
        <w:rPr>
          <w:rFonts w:cs="Calibri"/>
          <w:color w:val="000000" w:themeColor="text1"/>
          <w:szCs w:val="20"/>
          <w:shd w:val="clear" w:color="auto" w:fill="FFFFFF"/>
        </w:rPr>
        <w:t>On April 13, 2026, the Company announced the admission of its ordinary shares to trading on the regulated market of Euronext Amsterdam, operated by Euronext Amsterdam N.V. The dual listing on Euronext Amsterdam complements the existing trading of Colt CZ shares on the Prime Market of the Prague Stock Exchange, where the Company has been listed since June 1, 2020. Trading in Colt CZ shares on Euronext Amsterdam commenced on April 15 at 9:00 a.m. CEST under the ticker symbol “COLT”. The shares are fully fungible between Euronext Amsterdam and the Prague Stock Exchange.</w:t>
      </w:r>
    </w:p>
    <w:p w14:paraId="342ED673" w14:textId="77777777" w:rsidR="0036103F" w:rsidRPr="0040724B" w:rsidRDefault="001C7703" w:rsidP="008268DE">
      <w:pPr>
        <w:spacing w:line="276" w:lineRule="auto"/>
        <w:rPr>
          <w:rFonts w:eastAsia="Verdana"/>
          <w:color w:val="000000"/>
          <w:spacing w:val="-4"/>
          <w:szCs w:val="20"/>
        </w:rPr>
      </w:pPr>
      <w:r w:rsidRPr="0040724B">
        <w:rPr>
          <w:rFonts w:cs="Calibri"/>
          <w:color w:val="000000" w:themeColor="text1"/>
          <w:szCs w:val="20"/>
          <w:shd w:val="clear" w:color="auto" w:fill="FFFFFF"/>
        </w:rPr>
        <w:t xml:space="preserve">Depending on market conditions, the Company may </w:t>
      </w:r>
      <w:r w:rsidR="0036103F" w:rsidRPr="0040724B">
        <w:rPr>
          <w:rFonts w:cs="Calibri"/>
          <w:color w:val="000000" w:themeColor="text1"/>
          <w:szCs w:val="20"/>
          <w:shd w:val="clear" w:color="auto" w:fill="FFFFFF"/>
        </w:rPr>
        <w:t>pursue</w:t>
      </w:r>
      <w:r w:rsidRPr="0040724B">
        <w:rPr>
          <w:rFonts w:cs="Calibri"/>
          <w:color w:val="000000" w:themeColor="text1"/>
          <w:szCs w:val="20"/>
          <w:shd w:val="clear" w:color="auto" w:fill="FFFFFF"/>
        </w:rPr>
        <w:t xml:space="preserve"> a capital increase while retaining full flexibility regarding timing, including the possibility to postpone the transaction to a later date. </w:t>
      </w:r>
      <w:r w:rsidR="0036103F" w:rsidRPr="0040724B">
        <w:rPr>
          <w:rFonts w:eastAsia="Verdana"/>
          <w:color w:val="000000"/>
          <w:spacing w:val="-4"/>
          <w:szCs w:val="20"/>
        </w:rPr>
        <w:t xml:space="preserve">The net proceeds from the planned capital increase may be used for further strategic investments, acquisitions, and development including: i) strategic investments in continued technological modernization and production capacity increases, ii) strengthening innovation </w:t>
      </w:r>
      <w:r w:rsidR="0036103F" w:rsidRPr="0040724B">
        <w:rPr>
          <w:rFonts w:eastAsia="Verdana"/>
          <w:color w:val="000000"/>
          <w:spacing w:val="-4"/>
          <w:szCs w:val="20"/>
        </w:rPr>
        <w:lastRenderedPageBreak/>
        <w:t>capacity and research and development, iii) personnel and organizational strengthening, iv) targeted and disciplined acquisition of manufacturers of products complementary to Colt CZ Group</w:t>
      </w:r>
      <w:r w:rsidR="0036103F" w:rsidRPr="0040724B">
        <w:rPr>
          <w:rFonts w:eastAsia="Verdana"/>
          <w:color w:val="000000"/>
          <w:spacing w:val="-2"/>
          <w:szCs w:val="20"/>
        </w:rPr>
        <w:t>'</w:t>
      </w:r>
      <w:r w:rsidR="0036103F" w:rsidRPr="0040724B">
        <w:rPr>
          <w:rFonts w:eastAsia="Verdana"/>
          <w:color w:val="000000"/>
          <w:spacing w:val="-4"/>
          <w:szCs w:val="20"/>
        </w:rPr>
        <w:t>s product portfolio, as well as v) partial reduction of the Company</w:t>
      </w:r>
      <w:r w:rsidR="0036103F" w:rsidRPr="0040724B">
        <w:rPr>
          <w:rFonts w:eastAsia="Verdana"/>
          <w:color w:val="000000"/>
          <w:spacing w:val="-2"/>
          <w:szCs w:val="20"/>
        </w:rPr>
        <w:t>'</w:t>
      </w:r>
      <w:r w:rsidR="0036103F" w:rsidRPr="0040724B">
        <w:rPr>
          <w:rFonts w:eastAsia="Verdana"/>
          <w:color w:val="000000"/>
          <w:spacing w:val="-4"/>
          <w:szCs w:val="20"/>
        </w:rPr>
        <w:t>s existing debt.</w:t>
      </w:r>
    </w:p>
    <w:p w14:paraId="2DB15E68" w14:textId="520C1282" w:rsidR="005F66F9" w:rsidRPr="0040724B" w:rsidRDefault="005F66F9" w:rsidP="005F66F9">
      <w:pPr>
        <w:rPr>
          <w:szCs w:val="20"/>
        </w:rPr>
      </w:pPr>
      <w:r w:rsidRPr="0040724B">
        <w:rPr>
          <w:b/>
          <w:bCs/>
          <w:szCs w:val="20"/>
        </w:rPr>
        <w:t>About Colt CZ Group SE</w:t>
      </w:r>
      <w:r w:rsidRPr="0040724B">
        <w:rPr>
          <w:szCs w:val="20"/>
        </w:rPr>
        <w:t> </w:t>
      </w:r>
    </w:p>
    <w:p w14:paraId="391713B2" w14:textId="52FE25BB" w:rsidR="00300763" w:rsidRPr="0040724B" w:rsidRDefault="0036103F" w:rsidP="0036103F">
      <w:r w:rsidRPr="369702DA">
        <w:rPr>
          <w:rFonts w:eastAsia="Atyp Colt CZ" w:cs="Atyp Colt CZ"/>
        </w:rPr>
        <w:t>Colt CZ Group (Colt CZ) is one of the</w:t>
      </w:r>
      <w:r w:rsidR="53DFE57B" w:rsidRPr="369702DA">
        <w:rPr>
          <w:rFonts w:eastAsia="Atyp Colt CZ" w:cs="Atyp Colt CZ"/>
        </w:rPr>
        <w:t xml:space="preserve"> world's</w:t>
      </w:r>
      <w:r w:rsidRPr="369702DA">
        <w:rPr>
          <w:rFonts w:eastAsia="Atyp Colt CZ" w:cs="Atyp Colt CZ"/>
        </w:rPr>
        <w:t xml:space="preserve"> leading</w:t>
      </w:r>
      <w:r w:rsidR="7FDD81FE" w:rsidRPr="369702DA">
        <w:rPr>
          <w:rFonts w:eastAsia="Atyp Colt CZ" w:cs="Atyp Colt CZ"/>
        </w:rPr>
        <w:t xml:space="preserve"> vertically integrated manufacturers of firearms, ammunition, and energetic materials, serving military and law enforcement as well as commercial markets.</w:t>
      </w:r>
      <w:r w:rsidRPr="369702DA">
        <w:rPr>
          <w:rFonts w:eastAsia="Atyp Colt CZ" w:cs="Atyp Colt CZ"/>
        </w:rPr>
        <w:t xml:space="preserve"> It markets and sells its products mainly under the Colt, CZ (Česká zbrojovka), Colt Canada, Colt Optics, Dan Wesson, Sellier &amp; Bellot, Spuhr, swissAA</w:t>
      </w:r>
      <w:r w:rsidR="007A3844">
        <w:rPr>
          <w:rFonts w:eastAsia="Atyp Colt CZ" w:cs="Atyp Colt CZ"/>
        </w:rPr>
        <w:t>,</w:t>
      </w:r>
      <w:r w:rsidRPr="369702DA">
        <w:rPr>
          <w:rFonts w:eastAsia="Atyp Colt CZ" w:cs="Atyp Colt CZ"/>
        </w:rPr>
        <w:t xml:space="preserve"> and 4M Tactical brands. The Group is also active in the production of energetic nitrocellulose through Synthesia Nitrocellulose</w:t>
      </w:r>
      <w:r w:rsidR="1ACE8315" w:rsidRPr="369702DA">
        <w:rPr>
          <w:rFonts w:eastAsia="Atyp Colt CZ" w:cs="Atyp Colt CZ"/>
        </w:rPr>
        <w:t>.</w:t>
      </w:r>
    </w:p>
    <w:p w14:paraId="3250B7AB" w14:textId="70E542FF" w:rsidR="0036103F" w:rsidRPr="0040724B" w:rsidRDefault="0036103F" w:rsidP="369702DA">
      <w:pPr>
        <w:rPr>
          <w:rFonts w:eastAsia="Atyp Colt CZ" w:cs="Atyp Colt CZ"/>
        </w:rPr>
      </w:pPr>
      <w:r w:rsidRPr="369702DA">
        <w:rPr>
          <w:rFonts w:eastAsia="Atyp Colt CZ" w:cs="Atyp Colt CZ"/>
        </w:rPr>
        <w:t>Colt CZ Group is headquartered in the Czech Republic and employs more than 4,500 people</w:t>
      </w:r>
      <w:r w:rsidR="04B5FA1A" w:rsidRPr="369702DA">
        <w:rPr>
          <w:rFonts w:eastAsia="Atyp Colt CZ" w:cs="Atyp Colt CZ"/>
        </w:rPr>
        <w:t xml:space="preserve"> across 13 </w:t>
      </w:r>
      <w:r w:rsidRPr="369702DA">
        <w:rPr>
          <w:rFonts w:eastAsia="Atyp Colt CZ" w:cs="Atyp Colt CZ"/>
        </w:rPr>
        <w:t>production facilities in the Czech Republic, the United States, Canada, Sweden, Switzerland, and Hungary. The Group has been listed on the Prague Stock Exchange since 2020</w:t>
      </w:r>
      <w:r w:rsidR="7E59E0FF" w:rsidRPr="369702DA">
        <w:rPr>
          <w:rFonts w:eastAsia="Atyp Colt CZ" w:cs="Atyp Colt CZ"/>
        </w:rPr>
        <w:t xml:space="preserve"> and completed its dual listing on Euronext Amsterdam in April 2026. Its largest shareholder is Česká zbrojovka Partners SE Holding.</w:t>
      </w:r>
    </w:p>
    <w:p w14:paraId="4FC52D3B" w14:textId="77777777" w:rsidR="00CD0E27" w:rsidRPr="0040724B" w:rsidRDefault="00CD0E27" w:rsidP="00CE3C48">
      <w:pPr>
        <w:rPr>
          <w:rFonts w:cs="Calibri"/>
          <w:i/>
          <w:iCs/>
          <w:color w:val="000000" w:themeColor="text1"/>
          <w:szCs w:val="20"/>
        </w:rPr>
      </w:pPr>
    </w:p>
    <w:p w14:paraId="10974E57" w14:textId="77777777" w:rsidR="008013A1" w:rsidRDefault="008013A1" w:rsidP="008013A1">
      <w:pPr>
        <w:spacing w:before="0" w:after="0" w:line="276" w:lineRule="auto"/>
        <w:rPr>
          <w:rFonts w:cs="Calibri"/>
          <w:b/>
          <w:bCs/>
          <w:color w:val="000000" w:themeColor="text1"/>
          <w:szCs w:val="20"/>
        </w:rPr>
      </w:pPr>
      <w:r w:rsidRPr="0017330A">
        <w:rPr>
          <w:rFonts w:cs="Calibri"/>
          <w:b/>
          <w:bCs/>
          <w:color w:val="000000" w:themeColor="text1"/>
          <w:szCs w:val="20"/>
        </w:rPr>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Pr>
          <w:rFonts w:cs="Calibri"/>
          <w:b/>
          <w:bCs/>
          <w:color w:val="000000" w:themeColor="text1"/>
          <w:szCs w:val="20"/>
        </w:rPr>
        <w:tab/>
      </w:r>
      <w:r w:rsidRPr="0017330A">
        <w:rPr>
          <w:rFonts w:cs="Calibri"/>
          <w:b/>
          <w:bCs/>
          <w:color w:val="000000" w:themeColor="text1"/>
          <w:szCs w:val="20"/>
        </w:rPr>
        <w:t>Contact for investors</w:t>
      </w:r>
      <w:r w:rsidRPr="0017330A">
        <w:rPr>
          <w:rFonts w:cs="Calibri"/>
          <w:b/>
          <w:bCs/>
          <w:color w:val="000000" w:themeColor="text1"/>
          <w:szCs w:val="20"/>
        </w:rPr>
        <w:tab/>
      </w:r>
    </w:p>
    <w:p w14:paraId="17A518DA" w14:textId="77777777" w:rsidR="008013A1" w:rsidRPr="0017330A" w:rsidRDefault="008013A1" w:rsidP="008013A1">
      <w:pPr>
        <w:spacing w:before="0" w:after="0" w:line="276" w:lineRule="auto"/>
        <w:rPr>
          <w:rFonts w:cs="Calibri"/>
          <w:b/>
          <w:bCs/>
          <w:color w:val="000000" w:themeColor="text1"/>
          <w:szCs w:val="20"/>
        </w:rPr>
      </w:pPr>
    </w:p>
    <w:p w14:paraId="33B73458" w14:textId="77777777" w:rsidR="008013A1" w:rsidRPr="003850D3" w:rsidRDefault="008013A1" w:rsidP="008013A1">
      <w:pPr>
        <w:spacing w:before="0" w:after="0" w:line="276" w:lineRule="auto"/>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Klára Šípová</w:t>
      </w:r>
    </w:p>
    <w:p w14:paraId="165FE2F2" w14:textId="77777777" w:rsidR="008013A1" w:rsidRPr="003850D3" w:rsidRDefault="008013A1" w:rsidP="008013A1">
      <w:pPr>
        <w:spacing w:before="0" w:after="0" w:line="276" w:lineRule="auto"/>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Investor Relations</w:t>
      </w:r>
    </w:p>
    <w:p w14:paraId="7792229F" w14:textId="77777777" w:rsidR="008013A1" w:rsidRPr="0017330A" w:rsidRDefault="008013A1" w:rsidP="008013A1">
      <w:pPr>
        <w:spacing w:before="0" w:after="0" w:line="276" w:lineRule="auto"/>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Colt CZ Group SE</w:t>
      </w:r>
    </w:p>
    <w:p w14:paraId="3C471D41" w14:textId="77777777" w:rsidR="008013A1" w:rsidRPr="0017330A" w:rsidRDefault="008013A1" w:rsidP="008013A1">
      <w:pPr>
        <w:spacing w:before="0" w:after="0" w:line="276" w:lineRule="auto"/>
        <w:rPr>
          <w:rFonts w:cs="Calibri"/>
          <w:color w:val="000000" w:themeColor="text1"/>
          <w:szCs w:val="20"/>
        </w:rPr>
      </w:pPr>
      <w:r w:rsidRPr="0017330A">
        <w:rPr>
          <w:rFonts w:cs="Calibri"/>
          <w:color w:val="000000" w:themeColor="text1"/>
          <w:szCs w:val="20"/>
        </w:rPr>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Phone: +420 724 255 715</w:t>
      </w:r>
      <w:r w:rsidRPr="0017330A">
        <w:rPr>
          <w:rFonts w:cs="Calibri"/>
          <w:color w:val="000000" w:themeColor="text1"/>
          <w:szCs w:val="20"/>
        </w:rPr>
        <w:tab/>
      </w:r>
    </w:p>
    <w:p w14:paraId="0F3A2B3F" w14:textId="77777777" w:rsidR="008013A1" w:rsidRPr="0017330A" w:rsidRDefault="008013A1" w:rsidP="008013A1">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Pr>
          <w:szCs w:val="20"/>
        </w:rPr>
        <w:tab/>
      </w:r>
      <w:r w:rsidRPr="0017330A">
        <w:rPr>
          <w:rFonts w:cs="Calibri"/>
          <w:color w:val="000000" w:themeColor="text1"/>
          <w:szCs w:val="20"/>
        </w:rPr>
        <w:t xml:space="preserve">email: </w:t>
      </w:r>
      <w:r w:rsidRPr="0017330A">
        <w:rPr>
          <w:szCs w:val="20"/>
        </w:rPr>
        <w:t>sipova@coltczgroup.com</w:t>
      </w:r>
    </w:p>
    <w:p w14:paraId="618D4A83" w14:textId="0AC3421E" w:rsidR="002E4F53" w:rsidRPr="0040724B" w:rsidRDefault="002E4F53">
      <w:pPr>
        <w:spacing w:before="0" w:after="0"/>
        <w:jc w:val="left"/>
        <w:rPr>
          <w:szCs w:val="20"/>
        </w:rPr>
      </w:pPr>
      <w:r w:rsidRPr="0040724B">
        <w:rPr>
          <w:szCs w:val="20"/>
        </w:rPr>
        <w:br w:type="page"/>
      </w:r>
    </w:p>
    <w:p w14:paraId="5858FED4" w14:textId="77777777" w:rsidR="002E4F53" w:rsidRPr="0040724B" w:rsidRDefault="002E4F53" w:rsidP="002E4F53">
      <w:pPr>
        <w:spacing w:before="0" w:after="0" w:line="276" w:lineRule="auto"/>
        <w:jc w:val="left"/>
        <w:rPr>
          <w:rFonts w:cs="Calibri"/>
          <w:color w:val="000000" w:themeColor="text1"/>
          <w:szCs w:val="20"/>
        </w:rPr>
      </w:pPr>
      <w:r w:rsidRPr="0040724B">
        <w:rPr>
          <w:rFonts w:cs="Calibri"/>
          <w:color w:val="000000" w:themeColor="text1"/>
          <w:szCs w:val="20"/>
        </w:rPr>
        <w:lastRenderedPageBreak/>
        <w:t xml:space="preserve">Appendix: </w:t>
      </w:r>
    </w:p>
    <w:p w14:paraId="6934EF58" w14:textId="77777777" w:rsidR="002E4F53" w:rsidRPr="0040724B" w:rsidRDefault="002E4F53" w:rsidP="002E4F53">
      <w:pPr>
        <w:spacing w:before="0" w:after="0" w:line="276" w:lineRule="auto"/>
        <w:jc w:val="left"/>
        <w:rPr>
          <w:rFonts w:cs="Calibri"/>
          <w:color w:val="000000" w:themeColor="text1"/>
          <w:szCs w:val="20"/>
        </w:rPr>
      </w:pPr>
    </w:p>
    <w:p w14:paraId="2ECEE520" w14:textId="77777777" w:rsidR="002E4F53" w:rsidRPr="0040724B" w:rsidRDefault="002E4F53" w:rsidP="002E4F53">
      <w:pPr>
        <w:spacing w:before="0" w:after="0" w:line="276" w:lineRule="auto"/>
        <w:jc w:val="left"/>
        <w:rPr>
          <w:rFonts w:cs="Calibri"/>
          <w:b/>
          <w:bCs/>
          <w:color w:val="000000" w:themeColor="text1"/>
          <w:szCs w:val="20"/>
        </w:rPr>
      </w:pPr>
      <w:r w:rsidRPr="0040724B">
        <w:rPr>
          <w:rFonts w:cs="Calibri"/>
          <w:b/>
          <w:bCs/>
          <w:color w:val="000000" w:themeColor="text1"/>
          <w:szCs w:val="20"/>
        </w:rPr>
        <w:t>Adjusted EBITDA</w:t>
      </w:r>
    </w:p>
    <w:tbl>
      <w:tblPr>
        <w:tblW w:w="5001" w:type="pct"/>
        <w:tblLook w:val="04A0" w:firstRow="1" w:lastRow="0" w:firstColumn="1" w:lastColumn="0" w:noHBand="0" w:noVBand="1"/>
      </w:tblPr>
      <w:tblGrid>
        <w:gridCol w:w="4538"/>
        <w:gridCol w:w="2127"/>
        <w:gridCol w:w="2125"/>
      </w:tblGrid>
      <w:tr w:rsidR="001C7703" w:rsidRPr="0040724B" w14:paraId="5B2B3EA7" w14:textId="4566703F" w:rsidTr="001C7703">
        <w:trPr>
          <w:trHeight w:val="315"/>
        </w:trPr>
        <w:tc>
          <w:tcPr>
            <w:tcW w:w="2581" w:type="pct"/>
            <w:noWrap/>
            <w:hideMark/>
          </w:tcPr>
          <w:p w14:paraId="5238D484" w14:textId="77777777" w:rsidR="001C7703" w:rsidRPr="0040724B" w:rsidRDefault="001C7703" w:rsidP="001C7703">
            <w:pPr>
              <w:spacing w:before="0" w:after="0" w:line="276" w:lineRule="auto"/>
              <w:jc w:val="left"/>
              <w:rPr>
                <w:rFonts w:cs="Calibri"/>
                <w:color w:val="000000" w:themeColor="text1"/>
                <w:szCs w:val="20"/>
              </w:rPr>
            </w:pPr>
            <w:r w:rsidRPr="0040724B">
              <w:rPr>
                <w:rFonts w:eastAsia="Calibri" w:cs="Calibri"/>
                <w:szCs w:val="20"/>
              </w:rPr>
              <w:t>(in CZK thousand)</w:t>
            </w:r>
          </w:p>
        </w:tc>
        <w:tc>
          <w:tcPr>
            <w:tcW w:w="1210" w:type="pct"/>
            <w:noWrap/>
            <w:hideMark/>
          </w:tcPr>
          <w:p w14:paraId="7D6D0A26" w14:textId="39BAC7B8"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szCs w:val="20"/>
              </w:rPr>
              <w:t>Q1 2026</w:t>
            </w:r>
          </w:p>
        </w:tc>
        <w:tc>
          <w:tcPr>
            <w:tcW w:w="1209" w:type="pct"/>
          </w:tcPr>
          <w:p w14:paraId="49C035C9" w14:textId="7B12030E" w:rsidR="001C7703" w:rsidRPr="0040724B" w:rsidRDefault="001C7703" w:rsidP="001C7703">
            <w:pPr>
              <w:spacing w:before="0" w:after="0" w:line="276" w:lineRule="auto"/>
              <w:jc w:val="right"/>
              <w:rPr>
                <w:rFonts w:eastAsia="Calibri" w:cs="Calibri"/>
                <w:szCs w:val="20"/>
              </w:rPr>
            </w:pPr>
            <w:r w:rsidRPr="0040724B">
              <w:rPr>
                <w:rFonts w:eastAsia="Calibri" w:cs="Calibri"/>
                <w:szCs w:val="20"/>
              </w:rPr>
              <w:t>Q1 2025</w:t>
            </w:r>
          </w:p>
        </w:tc>
      </w:tr>
      <w:tr w:rsidR="001C7703" w:rsidRPr="0040724B" w14:paraId="54498E92" w14:textId="712D39C1" w:rsidTr="001C7703">
        <w:trPr>
          <w:trHeight w:val="315"/>
        </w:trPr>
        <w:tc>
          <w:tcPr>
            <w:tcW w:w="2581" w:type="pct"/>
            <w:noWrap/>
            <w:hideMark/>
          </w:tcPr>
          <w:p w14:paraId="250F6768" w14:textId="77777777" w:rsidR="001C7703" w:rsidRPr="0040724B" w:rsidRDefault="001C7703" w:rsidP="001C7703">
            <w:pPr>
              <w:spacing w:before="0" w:after="0" w:line="276" w:lineRule="auto"/>
              <w:jc w:val="left"/>
              <w:rPr>
                <w:rFonts w:cs="Calibri"/>
                <w:color w:val="000000" w:themeColor="text1"/>
                <w:szCs w:val="20"/>
              </w:rPr>
            </w:pPr>
          </w:p>
        </w:tc>
        <w:tc>
          <w:tcPr>
            <w:tcW w:w="1210" w:type="pct"/>
            <w:noWrap/>
            <w:vAlign w:val="center"/>
            <w:hideMark/>
          </w:tcPr>
          <w:p w14:paraId="7DE4F9A1" w14:textId="77777777" w:rsidR="001C7703" w:rsidRPr="0040724B" w:rsidRDefault="001C7703" w:rsidP="001C7703">
            <w:pPr>
              <w:spacing w:before="0" w:after="0" w:line="276" w:lineRule="auto"/>
              <w:jc w:val="right"/>
              <w:rPr>
                <w:rFonts w:cs="Calibri"/>
                <w:color w:val="000000" w:themeColor="text1"/>
                <w:szCs w:val="20"/>
              </w:rPr>
            </w:pPr>
          </w:p>
        </w:tc>
        <w:tc>
          <w:tcPr>
            <w:tcW w:w="1209" w:type="pct"/>
            <w:vAlign w:val="center"/>
          </w:tcPr>
          <w:p w14:paraId="33B30975" w14:textId="77777777" w:rsidR="001C7703" w:rsidRPr="0040724B" w:rsidRDefault="001C7703" w:rsidP="001C7703">
            <w:pPr>
              <w:spacing w:before="0" w:after="0" w:line="276" w:lineRule="auto"/>
              <w:jc w:val="right"/>
              <w:rPr>
                <w:rFonts w:cs="Calibri"/>
                <w:color w:val="000000" w:themeColor="text1"/>
                <w:szCs w:val="20"/>
              </w:rPr>
            </w:pPr>
          </w:p>
        </w:tc>
      </w:tr>
      <w:tr w:rsidR="001C7703" w:rsidRPr="0040724B" w14:paraId="3C91CF26" w14:textId="755D7B5A" w:rsidTr="001C7703">
        <w:trPr>
          <w:trHeight w:val="330"/>
        </w:trPr>
        <w:tc>
          <w:tcPr>
            <w:tcW w:w="2581" w:type="pct"/>
            <w:noWrap/>
            <w:hideMark/>
          </w:tcPr>
          <w:p w14:paraId="24EF6543" w14:textId="77777777" w:rsidR="001C7703" w:rsidRPr="0040724B" w:rsidRDefault="001C7703" w:rsidP="001C7703">
            <w:pPr>
              <w:spacing w:before="0" w:after="0" w:line="276" w:lineRule="auto"/>
              <w:jc w:val="left"/>
              <w:rPr>
                <w:rFonts w:cs="Calibri"/>
                <w:b/>
                <w:bCs/>
                <w:color w:val="000000" w:themeColor="text1"/>
                <w:szCs w:val="20"/>
              </w:rPr>
            </w:pPr>
            <w:r w:rsidRPr="0040724B">
              <w:rPr>
                <w:rFonts w:cs="Calibri"/>
                <w:b/>
                <w:bCs/>
                <w:color w:val="000000" w:themeColor="text1"/>
                <w:szCs w:val="20"/>
              </w:rPr>
              <w:t>EBITDA</w:t>
            </w:r>
          </w:p>
        </w:tc>
        <w:tc>
          <w:tcPr>
            <w:tcW w:w="1210" w:type="pct"/>
            <w:noWrap/>
            <w:vAlign w:val="center"/>
          </w:tcPr>
          <w:p w14:paraId="6C20ACCB" w14:textId="26C4C395" w:rsidR="001C7703" w:rsidRPr="0040724B" w:rsidRDefault="001C7703" w:rsidP="001C7703">
            <w:pPr>
              <w:spacing w:before="0" w:after="0" w:line="276" w:lineRule="auto"/>
              <w:jc w:val="right"/>
              <w:rPr>
                <w:rFonts w:cs="Calibri"/>
                <w:color w:val="000000" w:themeColor="text1"/>
                <w:szCs w:val="20"/>
              </w:rPr>
            </w:pPr>
            <w:r w:rsidRPr="0040724B">
              <w:rPr>
                <w:rFonts w:cs="Calibri"/>
                <w:b/>
                <w:bCs/>
                <w:color w:val="000000" w:themeColor="text1"/>
                <w:szCs w:val="20"/>
              </w:rPr>
              <w:t>1,732,657</w:t>
            </w:r>
          </w:p>
        </w:tc>
        <w:tc>
          <w:tcPr>
            <w:tcW w:w="1209" w:type="pct"/>
            <w:vAlign w:val="center"/>
          </w:tcPr>
          <w:p w14:paraId="73FDAB9A" w14:textId="7D0C280B" w:rsidR="001C7703" w:rsidRPr="0040724B" w:rsidRDefault="001C7703" w:rsidP="001C7703">
            <w:pPr>
              <w:spacing w:before="0" w:after="0" w:line="276" w:lineRule="auto"/>
              <w:jc w:val="right"/>
              <w:rPr>
                <w:rFonts w:cs="Calibri"/>
                <w:b/>
                <w:bCs/>
                <w:color w:val="000000" w:themeColor="text1"/>
                <w:szCs w:val="20"/>
              </w:rPr>
            </w:pPr>
            <w:r w:rsidRPr="0040724B">
              <w:rPr>
                <w:rFonts w:cs="Calibri"/>
                <w:b/>
                <w:bCs/>
                <w:color w:val="000000" w:themeColor="text1"/>
                <w:szCs w:val="20"/>
              </w:rPr>
              <w:t>1,204,830</w:t>
            </w:r>
          </w:p>
        </w:tc>
      </w:tr>
      <w:tr w:rsidR="001C7703" w:rsidRPr="0040724B" w14:paraId="75AEF9F2" w14:textId="4D269972" w:rsidTr="001C7703">
        <w:trPr>
          <w:trHeight w:val="330"/>
        </w:trPr>
        <w:tc>
          <w:tcPr>
            <w:tcW w:w="2581" w:type="pct"/>
            <w:noWrap/>
            <w:hideMark/>
          </w:tcPr>
          <w:p w14:paraId="40C4B1C2" w14:textId="77777777"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ESOP</w:t>
            </w:r>
          </w:p>
        </w:tc>
        <w:tc>
          <w:tcPr>
            <w:tcW w:w="1210" w:type="pct"/>
            <w:noWrap/>
            <w:vAlign w:val="center"/>
          </w:tcPr>
          <w:p w14:paraId="4FD9E83B" w14:textId="4E15BC02"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0</w:t>
            </w:r>
          </w:p>
        </w:tc>
        <w:tc>
          <w:tcPr>
            <w:tcW w:w="1209" w:type="pct"/>
            <w:vAlign w:val="center"/>
          </w:tcPr>
          <w:p w14:paraId="415381C2" w14:textId="566926DB" w:rsidR="001C7703" w:rsidRPr="0040724B" w:rsidRDefault="001C7703" w:rsidP="001C7703">
            <w:pPr>
              <w:spacing w:before="0" w:after="0" w:line="276" w:lineRule="auto"/>
              <w:jc w:val="right"/>
              <w:rPr>
                <w:rFonts w:eastAsia="Calibri" w:cs="Calibri"/>
                <w:color w:val="000000" w:themeColor="text1"/>
                <w:szCs w:val="20"/>
              </w:rPr>
            </w:pPr>
            <w:r w:rsidRPr="0040724B">
              <w:rPr>
                <w:rFonts w:cs="Calibri"/>
                <w:color w:val="000000" w:themeColor="text1"/>
                <w:szCs w:val="20"/>
              </w:rPr>
              <w:t>16,123</w:t>
            </w:r>
          </w:p>
        </w:tc>
      </w:tr>
      <w:tr w:rsidR="001C7703" w:rsidRPr="0040724B" w14:paraId="6454F084" w14:textId="1FA523EF" w:rsidTr="001C7703">
        <w:trPr>
          <w:trHeight w:val="315"/>
        </w:trPr>
        <w:tc>
          <w:tcPr>
            <w:tcW w:w="2581" w:type="pct"/>
            <w:noWrap/>
            <w:hideMark/>
          </w:tcPr>
          <w:p w14:paraId="56E138CC" w14:textId="32DA75DD"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 xml:space="preserve">M&amp;A </w:t>
            </w:r>
          </w:p>
        </w:tc>
        <w:tc>
          <w:tcPr>
            <w:tcW w:w="1210" w:type="pct"/>
            <w:noWrap/>
            <w:vAlign w:val="center"/>
          </w:tcPr>
          <w:p w14:paraId="339B3535" w14:textId="06E3AA79"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2,716</w:t>
            </w:r>
          </w:p>
        </w:tc>
        <w:tc>
          <w:tcPr>
            <w:tcW w:w="1209" w:type="pct"/>
            <w:vAlign w:val="center"/>
          </w:tcPr>
          <w:p w14:paraId="6162A305" w14:textId="1B0478F3" w:rsidR="001C7703" w:rsidRPr="0040724B" w:rsidRDefault="001C7703" w:rsidP="001C7703">
            <w:pPr>
              <w:spacing w:before="0" w:after="0" w:line="276" w:lineRule="auto"/>
              <w:jc w:val="right"/>
              <w:rPr>
                <w:rFonts w:eastAsia="Calibri" w:cs="Calibri"/>
                <w:color w:val="000000" w:themeColor="text1"/>
                <w:szCs w:val="20"/>
              </w:rPr>
            </w:pPr>
            <w:r w:rsidRPr="0040724B">
              <w:rPr>
                <w:rFonts w:cs="Calibri"/>
                <w:color w:val="000000" w:themeColor="text1"/>
                <w:szCs w:val="20"/>
              </w:rPr>
              <w:t>3,339</w:t>
            </w:r>
          </w:p>
        </w:tc>
      </w:tr>
      <w:tr w:rsidR="001C7703" w:rsidRPr="0040724B" w14:paraId="608C29C9" w14:textId="12D507DC" w:rsidTr="001C7703">
        <w:trPr>
          <w:trHeight w:val="330"/>
        </w:trPr>
        <w:tc>
          <w:tcPr>
            <w:tcW w:w="2581" w:type="pct"/>
            <w:noWrap/>
            <w:hideMark/>
          </w:tcPr>
          <w:p w14:paraId="724999A7" w14:textId="6EBFB1BA"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S&amp;B commodity hedging</w:t>
            </w:r>
          </w:p>
        </w:tc>
        <w:tc>
          <w:tcPr>
            <w:tcW w:w="1210" w:type="pct"/>
            <w:noWrap/>
            <w:vAlign w:val="center"/>
          </w:tcPr>
          <w:p w14:paraId="511CFFBF" w14:textId="021CF892"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67,585</w:t>
            </w:r>
          </w:p>
        </w:tc>
        <w:tc>
          <w:tcPr>
            <w:tcW w:w="1209" w:type="pct"/>
            <w:vAlign w:val="center"/>
          </w:tcPr>
          <w:p w14:paraId="5BE2D431" w14:textId="15A0D081"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(12,627)</w:t>
            </w:r>
          </w:p>
        </w:tc>
      </w:tr>
      <w:tr w:rsidR="001C7703" w:rsidRPr="0040724B" w14:paraId="6F169AD2" w14:textId="77777777" w:rsidTr="001C7703">
        <w:trPr>
          <w:trHeight w:val="330"/>
        </w:trPr>
        <w:tc>
          <w:tcPr>
            <w:tcW w:w="2581" w:type="pct"/>
            <w:noWrap/>
          </w:tcPr>
          <w:p w14:paraId="26A3DA5D" w14:textId="395013A4"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Inventory step-up SNC and VSS</w:t>
            </w:r>
          </w:p>
        </w:tc>
        <w:tc>
          <w:tcPr>
            <w:tcW w:w="1210" w:type="pct"/>
            <w:noWrap/>
            <w:vAlign w:val="center"/>
          </w:tcPr>
          <w:p w14:paraId="76FCE225" w14:textId="703EC150"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282,879</w:t>
            </w:r>
          </w:p>
        </w:tc>
        <w:tc>
          <w:tcPr>
            <w:tcW w:w="1209" w:type="pct"/>
            <w:vAlign w:val="center"/>
          </w:tcPr>
          <w:p w14:paraId="5E7CA6C4" w14:textId="4CE0431B"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0</w:t>
            </w:r>
          </w:p>
        </w:tc>
      </w:tr>
      <w:tr w:rsidR="001C7703" w:rsidRPr="0040724B" w14:paraId="1610B595" w14:textId="0B09D2A7" w:rsidTr="001C7703">
        <w:trPr>
          <w:trHeight w:val="330"/>
        </w:trPr>
        <w:tc>
          <w:tcPr>
            <w:tcW w:w="2581" w:type="pct"/>
            <w:noWrap/>
            <w:hideMark/>
          </w:tcPr>
          <w:p w14:paraId="7C2BF755" w14:textId="77777777" w:rsidR="001C7703" w:rsidRPr="0040724B" w:rsidRDefault="001C7703" w:rsidP="001C7703">
            <w:pPr>
              <w:spacing w:before="0" w:after="0" w:line="276" w:lineRule="auto"/>
              <w:jc w:val="left"/>
              <w:rPr>
                <w:rFonts w:cs="Calibri"/>
                <w:b/>
                <w:bCs/>
                <w:color w:val="000000" w:themeColor="text1"/>
                <w:szCs w:val="20"/>
              </w:rPr>
            </w:pPr>
            <w:r w:rsidRPr="0040724B">
              <w:rPr>
                <w:rFonts w:cs="Calibri"/>
                <w:b/>
                <w:bCs/>
                <w:color w:val="000000" w:themeColor="text1"/>
                <w:szCs w:val="20"/>
              </w:rPr>
              <w:t>Adjusted EBITDA</w:t>
            </w:r>
          </w:p>
        </w:tc>
        <w:tc>
          <w:tcPr>
            <w:tcW w:w="1210" w:type="pct"/>
            <w:noWrap/>
            <w:vAlign w:val="center"/>
          </w:tcPr>
          <w:p w14:paraId="7FB9CD94" w14:textId="5A5F2D8E" w:rsidR="001C7703" w:rsidRPr="0040724B" w:rsidRDefault="001C7703" w:rsidP="001C7703">
            <w:pPr>
              <w:spacing w:before="0" w:after="0" w:line="276" w:lineRule="auto"/>
              <w:jc w:val="right"/>
              <w:rPr>
                <w:rFonts w:cs="Calibri"/>
                <w:color w:val="000000" w:themeColor="text1"/>
                <w:szCs w:val="20"/>
              </w:rPr>
            </w:pPr>
            <w:r w:rsidRPr="0040724B">
              <w:rPr>
                <w:rFonts w:cs="Calibri"/>
                <w:b/>
                <w:bCs/>
                <w:color w:val="000000" w:themeColor="text1"/>
                <w:szCs w:val="20"/>
              </w:rPr>
              <w:t>2,085,837</w:t>
            </w:r>
          </w:p>
        </w:tc>
        <w:tc>
          <w:tcPr>
            <w:tcW w:w="1209" w:type="pct"/>
            <w:vAlign w:val="center"/>
          </w:tcPr>
          <w:p w14:paraId="382CC873" w14:textId="556BB09D" w:rsidR="001C7703" w:rsidRPr="0040724B" w:rsidRDefault="001C7703" w:rsidP="001C7703">
            <w:pPr>
              <w:spacing w:before="0" w:after="0" w:line="276" w:lineRule="auto"/>
              <w:jc w:val="right"/>
              <w:rPr>
                <w:rFonts w:cs="Calibri"/>
                <w:b/>
                <w:bCs/>
                <w:color w:val="000000" w:themeColor="text1"/>
                <w:szCs w:val="20"/>
              </w:rPr>
            </w:pPr>
            <w:r w:rsidRPr="0040724B">
              <w:rPr>
                <w:rFonts w:cs="Calibri"/>
                <w:b/>
                <w:bCs/>
                <w:color w:val="000000" w:themeColor="text1"/>
                <w:szCs w:val="20"/>
              </w:rPr>
              <w:t>1,211,665</w:t>
            </w:r>
          </w:p>
        </w:tc>
      </w:tr>
      <w:tr w:rsidR="001C7703" w:rsidRPr="0040724B" w14:paraId="05371488" w14:textId="29C9B520" w:rsidTr="001C7703">
        <w:trPr>
          <w:trHeight w:val="315"/>
        </w:trPr>
        <w:tc>
          <w:tcPr>
            <w:tcW w:w="2581" w:type="pct"/>
            <w:noWrap/>
            <w:hideMark/>
          </w:tcPr>
          <w:p w14:paraId="1A12D0B3" w14:textId="3BA10502"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Adj. EBITDA margin</w:t>
            </w:r>
          </w:p>
        </w:tc>
        <w:tc>
          <w:tcPr>
            <w:tcW w:w="1210" w:type="pct"/>
            <w:noWrap/>
            <w:vAlign w:val="center"/>
          </w:tcPr>
          <w:p w14:paraId="650829C3" w14:textId="742F0EA6"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28.5%</w:t>
            </w:r>
          </w:p>
        </w:tc>
        <w:tc>
          <w:tcPr>
            <w:tcW w:w="1209" w:type="pct"/>
            <w:vAlign w:val="center"/>
          </w:tcPr>
          <w:p w14:paraId="4DF0145B" w14:textId="1F636961" w:rsidR="001C7703" w:rsidRPr="0040724B" w:rsidRDefault="001C7703" w:rsidP="001C7703">
            <w:pPr>
              <w:spacing w:before="0" w:after="0" w:line="276" w:lineRule="auto"/>
              <w:jc w:val="right"/>
              <w:rPr>
                <w:rFonts w:eastAsia="Calibri" w:cs="Calibri"/>
                <w:color w:val="000000" w:themeColor="text1"/>
                <w:szCs w:val="20"/>
              </w:rPr>
            </w:pPr>
            <w:r w:rsidRPr="0040724B">
              <w:rPr>
                <w:rFonts w:eastAsia="Calibri" w:cs="Calibri"/>
                <w:color w:val="000000" w:themeColor="text1"/>
                <w:szCs w:val="20"/>
              </w:rPr>
              <w:t>22.0%</w:t>
            </w:r>
          </w:p>
        </w:tc>
      </w:tr>
    </w:tbl>
    <w:p w14:paraId="2D1B4E18" w14:textId="77777777" w:rsidR="002E4F53" w:rsidRPr="0040724B" w:rsidRDefault="002E4F53" w:rsidP="002E4F53">
      <w:pPr>
        <w:spacing w:before="0" w:after="0" w:line="276" w:lineRule="auto"/>
        <w:jc w:val="left"/>
        <w:rPr>
          <w:rFonts w:cs="Calibri"/>
          <w:color w:val="000000" w:themeColor="text1"/>
          <w:szCs w:val="20"/>
        </w:rPr>
      </w:pPr>
    </w:p>
    <w:p w14:paraId="0B8FBA66" w14:textId="77777777" w:rsidR="002E4F53" w:rsidRPr="0040724B" w:rsidRDefault="002E4F53" w:rsidP="002E4F53">
      <w:pPr>
        <w:spacing w:before="0" w:after="0" w:line="276" w:lineRule="auto"/>
        <w:jc w:val="left"/>
        <w:rPr>
          <w:rFonts w:cs="Calibri"/>
          <w:b/>
          <w:bCs/>
          <w:color w:val="000000" w:themeColor="text1"/>
          <w:szCs w:val="20"/>
        </w:rPr>
      </w:pPr>
      <w:r w:rsidRPr="0040724B">
        <w:rPr>
          <w:rFonts w:cs="Calibri"/>
          <w:b/>
          <w:bCs/>
          <w:color w:val="000000" w:themeColor="text1"/>
          <w:szCs w:val="20"/>
        </w:rPr>
        <w:t>Adjusted net profit</w:t>
      </w:r>
    </w:p>
    <w:tbl>
      <w:tblPr>
        <w:tblW w:w="5001" w:type="pct"/>
        <w:tblLook w:val="04A0" w:firstRow="1" w:lastRow="0" w:firstColumn="1" w:lastColumn="0" w:noHBand="0" w:noVBand="1"/>
      </w:tblPr>
      <w:tblGrid>
        <w:gridCol w:w="4538"/>
        <w:gridCol w:w="2127"/>
        <w:gridCol w:w="2125"/>
      </w:tblGrid>
      <w:tr w:rsidR="001C7703" w:rsidRPr="0040724B" w14:paraId="470993B4" w14:textId="77777777" w:rsidTr="001C7703">
        <w:trPr>
          <w:trHeight w:val="315"/>
        </w:trPr>
        <w:tc>
          <w:tcPr>
            <w:tcW w:w="2581" w:type="pct"/>
            <w:noWrap/>
            <w:hideMark/>
          </w:tcPr>
          <w:p w14:paraId="23EEA011" w14:textId="77777777" w:rsidR="001C7703" w:rsidRPr="0040724B" w:rsidRDefault="001C7703" w:rsidP="001C7703">
            <w:pPr>
              <w:spacing w:before="0" w:after="0" w:line="276" w:lineRule="auto"/>
              <w:jc w:val="left"/>
              <w:rPr>
                <w:rFonts w:cs="Calibri"/>
                <w:color w:val="000000" w:themeColor="text1"/>
                <w:szCs w:val="20"/>
              </w:rPr>
            </w:pPr>
            <w:r w:rsidRPr="0040724B">
              <w:rPr>
                <w:rFonts w:eastAsia="Calibri" w:cs="Calibri"/>
                <w:szCs w:val="20"/>
              </w:rPr>
              <w:t>(in CZK thousand)</w:t>
            </w:r>
          </w:p>
        </w:tc>
        <w:tc>
          <w:tcPr>
            <w:tcW w:w="1210" w:type="pct"/>
            <w:noWrap/>
            <w:hideMark/>
          </w:tcPr>
          <w:p w14:paraId="147F6AD2" w14:textId="790F3AC7"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szCs w:val="20"/>
              </w:rPr>
              <w:t>Q1 2026</w:t>
            </w:r>
          </w:p>
        </w:tc>
        <w:tc>
          <w:tcPr>
            <w:tcW w:w="1209" w:type="pct"/>
          </w:tcPr>
          <w:p w14:paraId="382399A1" w14:textId="4860151A" w:rsidR="001C7703" w:rsidRPr="0040724B" w:rsidRDefault="001C7703" w:rsidP="001C7703">
            <w:pPr>
              <w:spacing w:before="0" w:after="0" w:line="276" w:lineRule="auto"/>
              <w:jc w:val="right"/>
              <w:rPr>
                <w:rFonts w:eastAsia="Calibri" w:cs="Calibri"/>
                <w:szCs w:val="20"/>
              </w:rPr>
            </w:pPr>
            <w:r w:rsidRPr="0040724B">
              <w:rPr>
                <w:rFonts w:eastAsia="Calibri" w:cs="Calibri"/>
                <w:szCs w:val="20"/>
              </w:rPr>
              <w:t>Q1 2025</w:t>
            </w:r>
          </w:p>
        </w:tc>
      </w:tr>
      <w:tr w:rsidR="001C7703" w:rsidRPr="0040724B" w14:paraId="196A86FA" w14:textId="77777777" w:rsidTr="001C7703">
        <w:trPr>
          <w:trHeight w:val="315"/>
        </w:trPr>
        <w:tc>
          <w:tcPr>
            <w:tcW w:w="2581" w:type="pct"/>
            <w:noWrap/>
          </w:tcPr>
          <w:p w14:paraId="55744039" w14:textId="77777777" w:rsidR="001C7703" w:rsidRPr="0040724B" w:rsidRDefault="001C7703" w:rsidP="001C7703">
            <w:pPr>
              <w:spacing w:before="0" w:after="0" w:line="276" w:lineRule="auto"/>
              <w:jc w:val="left"/>
              <w:rPr>
                <w:rFonts w:cs="Calibri"/>
                <w:color w:val="000000" w:themeColor="text1"/>
                <w:szCs w:val="20"/>
              </w:rPr>
            </w:pPr>
          </w:p>
        </w:tc>
        <w:tc>
          <w:tcPr>
            <w:tcW w:w="1210" w:type="pct"/>
            <w:noWrap/>
            <w:vAlign w:val="center"/>
          </w:tcPr>
          <w:p w14:paraId="67D0B0C2" w14:textId="77777777" w:rsidR="001C7703" w:rsidRPr="0040724B" w:rsidRDefault="001C7703" w:rsidP="001C7703">
            <w:pPr>
              <w:spacing w:before="0" w:after="0" w:line="276" w:lineRule="auto"/>
              <w:jc w:val="right"/>
              <w:rPr>
                <w:rFonts w:cs="Calibri"/>
                <w:color w:val="000000" w:themeColor="text1"/>
                <w:szCs w:val="20"/>
              </w:rPr>
            </w:pPr>
          </w:p>
        </w:tc>
        <w:tc>
          <w:tcPr>
            <w:tcW w:w="1209" w:type="pct"/>
            <w:vAlign w:val="center"/>
          </w:tcPr>
          <w:p w14:paraId="75D1AF1A" w14:textId="77777777" w:rsidR="001C7703" w:rsidRPr="0040724B" w:rsidRDefault="001C7703" w:rsidP="001C7703">
            <w:pPr>
              <w:spacing w:before="0" w:after="0" w:line="276" w:lineRule="auto"/>
              <w:jc w:val="right"/>
              <w:rPr>
                <w:rFonts w:cs="Calibri"/>
                <w:color w:val="000000" w:themeColor="text1"/>
                <w:szCs w:val="20"/>
              </w:rPr>
            </w:pPr>
          </w:p>
        </w:tc>
      </w:tr>
      <w:tr w:rsidR="001C7703" w:rsidRPr="0040724B" w14:paraId="3FD73318" w14:textId="77777777" w:rsidTr="001C7703">
        <w:trPr>
          <w:trHeight w:val="315"/>
        </w:trPr>
        <w:tc>
          <w:tcPr>
            <w:tcW w:w="2581" w:type="pct"/>
            <w:noWrap/>
            <w:hideMark/>
          </w:tcPr>
          <w:p w14:paraId="26C8E363" w14:textId="77777777" w:rsidR="001C7703" w:rsidRPr="0040724B" w:rsidRDefault="001C7703" w:rsidP="001C7703">
            <w:pPr>
              <w:spacing w:before="0" w:after="0" w:line="276" w:lineRule="auto"/>
              <w:jc w:val="left"/>
              <w:rPr>
                <w:rFonts w:cs="Calibri"/>
                <w:b/>
                <w:bCs/>
                <w:color w:val="000000" w:themeColor="text1"/>
                <w:szCs w:val="20"/>
              </w:rPr>
            </w:pPr>
            <w:r w:rsidRPr="0040724B">
              <w:rPr>
                <w:rFonts w:cs="Calibri"/>
                <w:b/>
                <w:bCs/>
                <w:color w:val="000000" w:themeColor="text1"/>
                <w:szCs w:val="20"/>
              </w:rPr>
              <w:t>Profit before tax</w:t>
            </w:r>
          </w:p>
        </w:tc>
        <w:tc>
          <w:tcPr>
            <w:tcW w:w="1210" w:type="pct"/>
            <w:noWrap/>
            <w:vAlign w:val="center"/>
          </w:tcPr>
          <w:p w14:paraId="03C81A25" w14:textId="6510ED2C" w:rsidR="001C7703" w:rsidRPr="0040724B" w:rsidRDefault="001C7703" w:rsidP="001C7703">
            <w:pPr>
              <w:spacing w:before="0" w:after="0" w:line="276" w:lineRule="auto"/>
              <w:jc w:val="right"/>
              <w:rPr>
                <w:rFonts w:cs="Calibri"/>
                <w:b/>
                <w:bCs/>
                <w:color w:val="000000" w:themeColor="text1"/>
                <w:szCs w:val="20"/>
              </w:rPr>
            </w:pPr>
            <w:r w:rsidRPr="0040724B">
              <w:rPr>
                <w:rFonts w:cs="Calibri"/>
                <w:b/>
                <w:bCs/>
                <w:color w:val="000000" w:themeColor="text1"/>
                <w:szCs w:val="20"/>
              </w:rPr>
              <w:t>917,148</w:t>
            </w:r>
          </w:p>
        </w:tc>
        <w:tc>
          <w:tcPr>
            <w:tcW w:w="1209" w:type="pct"/>
            <w:vAlign w:val="center"/>
          </w:tcPr>
          <w:p w14:paraId="506A6917" w14:textId="291651FA" w:rsidR="001C7703" w:rsidRPr="0040724B" w:rsidRDefault="001C7703" w:rsidP="001C7703">
            <w:pPr>
              <w:spacing w:before="0" w:after="0" w:line="276" w:lineRule="auto"/>
              <w:jc w:val="right"/>
              <w:rPr>
                <w:rFonts w:cs="Calibri"/>
                <w:b/>
                <w:bCs/>
                <w:color w:val="000000" w:themeColor="text1"/>
                <w:szCs w:val="20"/>
              </w:rPr>
            </w:pPr>
            <w:r w:rsidRPr="0040724B">
              <w:rPr>
                <w:rFonts w:cs="Calibri"/>
                <w:b/>
                <w:bCs/>
                <w:color w:val="000000" w:themeColor="text1"/>
                <w:szCs w:val="20"/>
              </w:rPr>
              <w:t>691,402</w:t>
            </w:r>
          </w:p>
        </w:tc>
      </w:tr>
      <w:tr w:rsidR="001C7703" w:rsidRPr="0040724B" w14:paraId="3A395856" w14:textId="77777777" w:rsidTr="001C7703">
        <w:trPr>
          <w:trHeight w:val="315"/>
        </w:trPr>
        <w:tc>
          <w:tcPr>
            <w:tcW w:w="2581" w:type="pct"/>
            <w:noWrap/>
            <w:hideMark/>
          </w:tcPr>
          <w:p w14:paraId="3DCFFB5B" w14:textId="77777777"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ESOP</w:t>
            </w:r>
          </w:p>
        </w:tc>
        <w:tc>
          <w:tcPr>
            <w:tcW w:w="1210" w:type="pct"/>
            <w:noWrap/>
            <w:vAlign w:val="center"/>
          </w:tcPr>
          <w:p w14:paraId="6EEAB184" w14:textId="63114B5E"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0</w:t>
            </w:r>
          </w:p>
        </w:tc>
        <w:tc>
          <w:tcPr>
            <w:tcW w:w="1209" w:type="pct"/>
            <w:vAlign w:val="center"/>
          </w:tcPr>
          <w:p w14:paraId="65118011" w14:textId="58539AE4" w:rsidR="001C7703" w:rsidRPr="0040724B" w:rsidRDefault="001C7703" w:rsidP="001C7703">
            <w:pPr>
              <w:spacing w:before="0" w:after="0" w:line="276" w:lineRule="auto"/>
              <w:jc w:val="right"/>
              <w:rPr>
                <w:rFonts w:eastAsia="Calibri" w:cs="Calibri"/>
                <w:color w:val="000000" w:themeColor="text1"/>
                <w:szCs w:val="20"/>
              </w:rPr>
            </w:pPr>
            <w:r w:rsidRPr="0040724B">
              <w:rPr>
                <w:rFonts w:cs="Calibri"/>
                <w:color w:val="000000" w:themeColor="text1"/>
                <w:szCs w:val="20"/>
              </w:rPr>
              <w:t>16,123</w:t>
            </w:r>
          </w:p>
        </w:tc>
      </w:tr>
      <w:tr w:rsidR="001C7703" w:rsidRPr="0040724B" w14:paraId="03E856D5" w14:textId="77777777" w:rsidTr="001C7703">
        <w:trPr>
          <w:trHeight w:val="315"/>
        </w:trPr>
        <w:tc>
          <w:tcPr>
            <w:tcW w:w="2581" w:type="pct"/>
            <w:noWrap/>
            <w:hideMark/>
          </w:tcPr>
          <w:p w14:paraId="492DAC91" w14:textId="29854864"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 xml:space="preserve">M&amp;A </w:t>
            </w:r>
          </w:p>
        </w:tc>
        <w:tc>
          <w:tcPr>
            <w:tcW w:w="1210" w:type="pct"/>
            <w:noWrap/>
            <w:vAlign w:val="center"/>
          </w:tcPr>
          <w:p w14:paraId="784215D5" w14:textId="7AEF3B9E"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2,716</w:t>
            </w:r>
          </w:p>
        </w:tc>
        <w:tc>
          <w:tcPr>
            <w:tcW w:w="1209" w:type="pct"/>
            <w:vAlign w:val="center"/>
          </w:tcPr>
          <w:p w14:paraId="02E6AC83" w14:textId="1A6A0A14" w:rsidR="001C7703" w:rsidRPr="0040724B" w:rsidRDefault="001C7703" w:rsidP="001C7703">
            <w:pPr>
              <w:spacing w:before="0" w:after="0" w:line="276" w:lineRule="auto"/>
              <w:jc w:val="right"/>
              <w:rPr>
                <w:rFonts w:eastAsia="Calibri" w:cs="Calibri"/>
                <w:color w:val="000000" w:themeColor="text1"/>
                <w:szCs w:val="20"/>
              </w:rPr>
            </w:pPr>
            <w:r w:rsidRPr="0040724B">
              <w:rPr>
                <w:rFonts w:cs="Calibri"/>
                <w:color w:val="000000" w:themeColor="text1"/>
                <w:szCs w:val="20"/>
              </w:rPr>
              <w:t>3,339</w:t>
            </w:r>
          </w:p>
        </w:tc>
      </w:tr>
      <w:tr w:rsidR="001C7703" w:rsidRPr="0040724B" w14:paraId="44A1F7F6" w14:textId="77777777" w:rsidTr="001C7703">
        <w:trPr>
          <w:trHeight w:val="315"/>
        </w:trPr>
        <w:tc>
          <w:tcPr>
            <w:tcW w:w="2581" w:type="pct"/>
            <w:noWrap/>
          </w:tcPr>
          <w:p w14:paraId="7914A856" w14:textId="6643EDF0"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Inventory step-up SNC and VSS</w:t>
            </w:r>
          </w:p>
        </w:tc>
        <w:tc>
          <w:tcPr>
            <w:tcW w:w="1210" w:type="pct"/>
            <w:noWrap/>
            <w:vAlign w:val="center"/>
          </w:tcPr>
          <w:p w14:paraId="288ADA83" w14:textId="570C03CD"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282,879</w:t>
            </w:r>
          </w:p>
        </w:tc>
        <w:tc>
          <w:tcPr>
            <w:tcW w:w="1209" w:type="pct"/>
            <w:vAlign w:val="center"/>
          </w:tcPr>
          <w:p w14:paraId="71EDA363" w14:textId="02FAB3BB" w:rsidR="001C7703" w:rsidRPr="0040724B" w:rsidRDefault="001C7703" w:rsidP="001C7703">
            <w:pPr>
              <w:spacing w:before="0" w:after="0" w:line="276" w:lineRule="auto"/>
              <w:jc w:val="right"/>
              <w:rPr>
                <w:rFonts w:cs="Calibri"/>
                <w:color w:val="000000" w:themeColor="text1"/>
                <w:szCs w:val="20"/>
              </w:rPr>
            </w:pPr>
            <w:r w:rsidRPr="0040724B">
              <w:rPr>
                <w:rFonts w:cs="Calibri"/>
                <w:color w:val="000000" w:themeColor="text1"/>
                <w:szCs w:val="20"/>
              </w:rPr>
              <w:t>0</w:t>
            </w:r>
          </w:p>
        </w:tc>
      </w:tr>
      <w:tr w:rsidR="001C7703" w:rsidRPr="0040724B" w14:paraId="6C821127" w14:textId="77777777" w:rsidTr="001C7703">
        <w:trPr>
          <w:trHeight w:val="315"/>
        </w:trPr>
        <w:tc>
          <w:tcPr>
            <w:tcW w:w="2581" w:type="pct"/>
            <w:noWrap/>
            <w:hideMark/>
          </w:tcPr>
          <w:p w14:paraId="1A1D7C04" w14:textId="77777777"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Bank fee - acquisition loan S&amp;B</w:t>
            </w:r>
          </w:p>
        </w:tc>
        <w:tc>
          <w:tcPr>
            <w:tcW w:w="1210" w:type="pct"/>
            <w:noWrap/>
            <w:vAlign w:val="center"/>
          </w:tcPr>
          <w:p w14:paraId="782B721A" w14:textId="16F4E788"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5,638</w:t>
            </w:r>
          </w:p>
        </w:tc>
        <w:tc>
          <w:tcPr>
            <w:tcW w:w="1209" w:type="pct"/>
            <w:vAlign w:val="center"/>
          </w:tcPr>
          <w:p w14:paraId="2A1DCF82" w14:textId="71114E4B"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6,482</w:t>
            </w:r>
          </w:p>
        </w:tc>
      </w:tr>
      <w:tr w:rsidR="001C7703" w:rsidRPr="0040724B" w14:paraId="7100CDE7" w14:textId="77777777" w:rsidTr="001C7703">
        <w:trPr>
          <w:trHeight w:val="315"/>
        </w:trPr>
        <w:tc>
          <w:tcPr>
            <w:tcW w:w="2581" w:type="pct"/>
            <w:noWrap/>
            <w:hideMark/>
          </w:tcPr>
          <w:p w14:paraId="54D8EC1E" w14:textId="77777777" w:rsidR="001C7703" w:rsidRPr="0040724B" w:rsidRDefault="001C7703" w:rsidP="001C7703">
            <w:pPr>
              <w:spacing w:before="0" w:after="0" w:line="276" w:lineRule="auto"/>
              <w:jc w:val="left"/>
              <w:rPr>
                <w:rFonts w:cs="Calibri"/>
                <w:color w:val="000000" w:themeColor="text1"/>
                <w:szCs w:val="20"/>
              </w:rPr>
            </w:pPr>
            <w:r w:rsidRPr="0040724B">
              <w:rPr>
                <w:rFonts w:cs="Calibri"/>
                <w:color w:val="000000" w:themeColor="text1"/>
                <w:szCs w:val="20"/>
              </w:rPr>
              <w:t>Bond issue related costs</w:t>
            </w:r>
          </w:p>
        </w:tc>
        <w:tc>
          <w:tcPr>
            <w:tcW w:w="1210" w:type="pct"/>
            <w:noWrap/>
            <w:vAlign w:val="center"/>
          </w:tcPr>
          <w:p w14:paraId="20E72AEB" w14:textId="4CA1B9A1" w:rsidR="001C7703" w:rsidRPr="0040724B" w:rsidRDefault="0036103F"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5,921</w:t>
            </w:r>
          </w:p>
        </w:tc>
        <w:tc>
          <w:tcPr>
            <w:tcW w:w="1209" w:type="pct"/>
            <w:vAlign w:val="center"/>
          </w:tcPr>
          <w:p w14:paraId="4384C9EE" w14:textId="3FF599D1" w:rsidR="001C7703" w:rsidRPr="0040724B" w:rsidRDefault="001C7703" w:rsidP="001C7703">
            <w:pPr>
              <w:spacing w:before="0" w:after="0" w:line="276" w:lineRule="auto"/>
              <w:jc w:val="right"/>
              <w:rPr>
                <w:rFonts w:eastAsia="Calibri" w:cs="Calibri"/>
                <w:color w:val="000000" w:themeColor="text1"/>
                <w:szCs w:val="20"/>
              </w:rPr>
            </w:pPr>
            <w:r w:rsidRPr="0040724B">
              <w:rPr>
                <w:rFonts w:eastAsia="Calibri" w:cs="Calibri"/>
                <w:color w:val="000000" w:themeColor="text1"/>
                <w:szCs w:val="20"/>
              </w:rPr>
              <w:t>3,877</w:t>
            </w:r>
          </w:p>
        </w:tc>
      </w:tr>
      <w:tr w:rsidR="001C7703" w:rsidRPr="0040724B" w14:paraId="556CCC6C" w14:textId="77777777" w:rsidTr="001C7703">
        <w:trPr>
          <w:trHeight w:val="315"/>
        </w:trPr>
        <w:tc>
          <w:tcPr>
            <w:tcW w:w="2581" w:type="pct"/>
            <w:noWrap/>
            <w:hideMark/>
          </w:tcPr>
          <w:p w14:paraId="46E8074F" w14:textId="77777777" w:rsidR="001C7703" w:rsidRPr="0040724B" w:rsidRDefault="001C7703" w:rsidP="001C7703">
            <w:pPr>
              <w:spacing w:before="0" w:after="0" w:line="276" w:lineRule="auto"/>
              <w:jc w:val="left"/>
              <w:rPr>
                <w:rFonts w:cs="Calibri"/>
                <w:b/>
                <w:bCs/>
                <w:i/>
                <w:iCs/>
                <w:color w:val="000000" w:themeColor="text1"/>
                <w:szCs w:val="20"/>
              </w:rPr>
            </w:pPr>
            <w:r w:rsidRPr="0040724B">
              <w:rPr>
                <w:rFonts w:cs="Calibri"/>
                <w:b/>
                <w:bCs/>
                <w:i/>
                <w:iCs/>
                <w:color w:val="000000" w:themeColor="text1"/>
                <w:szCs w:val="20"/>
              </w:rPr>
              <w:t>Subtotal of adjusted items</w:t>
            </w:r>
          </w:p>
        </w:tc>
        <w:tc>
          <w:tcPr>
            <w:tcW w:w="1210" w:type="pct"/>
            <w:noWrap/>
            <w:vAlign w:val="center"/>
          </w:tcPr>
          <w:p w14:paraId="4E6D4D39" w14:textId="4335F971" w:rsidR="001C7703" w:rsidRPr="0040724B" w:rsidRDefault="0036103F" w:rsidP="001C7703">
            <w:pPr>
              <w:spacing w:before="0" w:after="0" w:line="276" w:lineRule="auto"/>
              <w:jc w:val="right"/>
              <w:rPr>
                <w:rFonts w:cs="Calibri"/>
                <w:b/>
                <w:bCs/>
                <w:i/>
                <w:iCs/>
                <w:color w:val="000000" w:themeColor="text1"/>
                <w:szCs w:val="20"/>
              </w:rPr>
            </w:pPr>
            <w:r w:rsidRPr="0040724B">
              <w:rPr>
                <w:rFonts w:cs="Calibri"/>
                <w:b/>
                <w:bCs/>
                <w:i/>
                <w:iCs/>
                <w:color w:val="000000" w:themeColor="text1"/>
                <w:szCs w:val="20"/>
              </w:rPr>
              <w:t>297,15</w:t>
            </w:r>
            <w:r w:rsidR="0080776F">
              <w:rPr>
                <w:rFonts w:cs="Calibri"/>
                <w:b/>
                <w:bCs/>
                <w:i/>
                <w:iCs/>
                <w:color w:val="000000" w:themeColor="text1"/>
                <w:szCs w:val="20"/>
              </w:rPr>
              <w:t>4</w:t>
            </w:r>
          </w:p>
        </w:tc>
        <w:tc>
          <w:tcPr>
            <w:tcW w:w="1209" w:type="pct"/>
            <w:vAlign w:val="center"/>
          </w:tcPr>
          <w:p w14:paraId="31BAC35D" w14:textId="4C1AC975" w:rsidR="001C7703" w:rsidRPr="0040724B" w:rsidRDefault="001C7703" w:rsidP="001C7703">
            <w:pPr>
              <w:spacing w:before="0" w:after="0" w:line="276" w:lineRule="auto"/>
              <w:jc w:val="right"/>
              <w:rPr>
                <w:rFonts w:cs="Calibri"/>
                <w:b/>
                <w:bCs/>
                <w:i/>
                <w:iCs/>
                <w:color w:val="000000" w:themeColor="text1"/>
                <w:szCs w:val="20"/>
              </w:rPr>
            </w:pPr>
            <w:r w:rsidRPr="0040724B">
              <w:rPr>
                <w:rFonts w:cs="Calibri"/>
                <w:b/>
                <w:bCs/>
                <w:i/>
                <w:iCs/>
                <w:color w:val="000000" w:themeColor="text1"/>
                <w:szCs w:val="20"/>
              </w:rPr>
              <w:t>29,821</w:t>
            </w:r>
          </w:p>
        </w:tc>
      </w:tr>
      <w:tr w:rsidR="001C7703" w:rsidRPr="0040724B" w14:paraId="72B11D2C" w14:textId="77777777" w:rsidTr="001C7703">
        <w:trPr>
          <w:trHeight w:val="315"/>
        </w:trPr>
        <w:tc>
          <w:tcPr>
            <w:tcW w:w="2581" w:type="pct"/>
            <w:noWrap/>
            <w:hideMark/>
          </w:tcPr>
          <w:p w14:paraId="49EB2526" w14:textId="681AC2B2" w:rsidR="001C7703" w:rsidRPr="0040724B" w:rsidRDefault="00C41EC0" w:rsidP="001C7703">
            <w:pPr>
              <w:spacing w:before="0" w:after="0" w:line="276" w:lineRule="auto"/>
              <w:jc w:val="left"/>
              <w:rPr>
                <w:rFonts w:cs="Calibri"/>
                <w:color w:val="000000" w:themeColor="text1"/>
                <w:szCs w:val="20"/>
              </w:rPr>
            </w:pPr>
            <w:r>
              <w:rPr>
                <w:rFonts w:cs="Calibri"/>
                <w:color w:val="000000" w:themeColor="text1"/>
                <w:szCs w:val="20"/>
              </w:rPr>
              <w:t>Taxation effect (</w:t>
            </w:r>
            <w:r w:rsidR="001C7703" w:rsidRPr="0040724B">
              <w:rPr>
                <w:rFonts w:cs="Calibri"/>
                <w:color w:val="000000" w:themeColor="text1"/>
                <w:szCs w:val="20"/>
              </w:rPr>
              <w:t>Effective tax rate</w:t>
            </w:r>
            <w:r>
              <w:rPr>
                <w:rFonts w:cs="Calibri"/>
                <w:color w:val="000000" w:themeColor="text1"/>
                <w:szCs w:val="20"/>
              </w:rPr>
              <w:t xml:space="preserve"> applied)</w:t>
            </w:r>
          </w:p>
        </w:tc>
        <w:tc>
          <w:tcPr>
            <w:tcW w:w="1210" w:type="pct"/>
            <w:noWrap/>
            <w:vAlign w:val="center"/>
          </w:tcPr>
          <w:p w14:paraId="5CFCFB72" w14:textId="03E5CFB9" w:rsidR="001C7703" w:rsidRPr="0040724B" w:rsidRDefault="001C7703" w:rsidP="001C7703">
            <w:pPr>
              <w:spacing w:before="0" w:after="0" w:line="276" w:lineRule="auto"/>
              <w:jc w:val="right"/>
              <w:rPr>
                <w:rFonts w:cs="Calibri"/>
                <w:color w:val="000000" w:themeColor="text1"/>
                <w:szCs w:val="20"/>
              </w:rPr>
            </w:pPr>
            <w:r w:rsidRPr="0040724B">
              <w:rPr>
                <w:rFonts w:eastAsia="Calibri" w:cs="Calibri"/>
                <w:color w:val="000000" w:themeColor="text1"/>
                <w:szCs w:val="20"/>
              </w:rPr>
              <w:t>(</w:t>
            </w:r>
            <w:r w:rsidR="0036103F" w:rsidRPr="0040724B">
              <w:rPr>
                <w:rFonts w:eastAsia="Calibri" w:cs="Calibri"/>
                <w:color w:val="000000" w:themeColor="text1"/>
                <w:szCs w:val="20"/>
              </w:rPr>
              <w:t>263,747</w:t>
            </w:r>
            <w:r w:rsidRPr="0040724B">
              <w:rPr>
                <w:rFonts w:eastAsia="Calibri" w:cs="Calibri"/>
                <w:color w:val="000000" w:themeColor="text1"/>
                <w:szCs w:val="20"/>
              </w:rPr>
              <w:t>)</w:t>
            </w:r>
          </w:p>
        </w:tc>
        <w:tc>
          <w:tcPr>
            <w:tcW w:w="1209" w:type="pct"/>
            <w:vAlign w:val="center"/>
          </w:tcPr>
          <w:p w14:paraId="53F77DD8" w14:textId="3AAF61E0" w:rsidR="001C7703" w:rsidRPr="0040724B" w:rsidRDefault="001C7703" w:rsidP="001C7703">
            <w:pPr>
              <w:spacing w:before="0" w:after="0" w:line="276" w:lineRule="auto"/>
              <w:jc w:val="right"/>
              <w:rPr>
                <w:rFonts w:eastAsia="Calibri" w:cs="Calibri"/>
                <w:color w:val="000000" w:themeColor="text1"/>
                <w:szCs w:val="20"/>
              </w:rPr>
            </w:pPr>
            <w:r w:rsidRPr="0040724B">
              <w:rPr>
                <w:rFonts w:eastAsia="Calibri" w:cs="Calibri"/>
                <w:color w:val="000000" w:themeColor="text1"/>
                <w:szCs w:val="20"/>
              </w:rPr>
              <w:t>(174,717)</w:t>
            </w:r>
          </w:p>
        </w:tc>
      </w:tr>
      <w:tr w:rsidR="001C7703" w:rsidRPr="0040724B" w14:paraId="4BCD7BFB" w14:textId="77777777" w:rsidTr="001C7703">
        <w:trPr>
          <w:trHeight w:val="315"/>
        </w:trPr>
        <w:tc>
          <w:tcPr>
            <w:tcW w:w="2581" w:type="pct"/>
            <w:noWrap/>
            <w:hideMark/>
          </w:tcPr>
          <w:p w14:paraId="0FB90FA8" w14:textId="77777777" w:rsidR="001C7703" w:rsidRPr="0040724B" w:rsidRDefault="001C7703" w:rsidP="001C7703">
            <w:pPr>
              <w:spacing w:before="0" w:after="0" w:line="276" w:lineRule="auto"/>
              <w:jc w:val="left"/>
              <w:rPr>
                <w:rFonts w:cs="Calibri"/>
                <w:b/>
                <w:bCs/>
                <w:color w:val="000000" w:themeColor="text1"/>
                <w:szCs w:val="20"/>
              </w:rPr>
            </w:pPr>
            <w:r w:rsidRPr="0040724B">
              <w:rPr>
                <w:rFonts w:cs="Calibri"/>
                <w:b/>
                <w:bCs/>
                <w:color w:val="000000" w:themeColor="text1"/>
                <w:szCs w:val="20"/>
              </w:rPr>
              <w:t>Adjusted net profit</w:t>
            </w:r>
          </w:p>
        </w:tc>
        <w:tc>
          <w:tcPr>
            <w:tcW w:w="1210" w:type="pct"/>
            <w:noWrap/>
            <w:vAlign w:val="center"/>
          </w:tcPr>
          <w:p w14:paraId="499A5E72" w14:textId="72F62C4F" w:rsidR="001C7703" w:rsidRPr="0040724B" w:rsidRDefault="0036103F" w:rsidP="001C7703">
            <w:pPr>
              <w:spacing w:before="0" w:after="0" w:line="276" w:lineRule="auto"/>
              <w:jc w:val="right"/>
              <w:rPr>
                <w:rFonts w:cs="Calibri"/>
                <w:b/>
                <w:bCs/>
                <w:color w:val="000000" w:themeColor="text1"/>
                <w:szCs w:val="20"/>
              </w:rPr>
            </w:pPr>
            <w:r w:rsidRPr="0040724B">
              <w:rPr>
                <w:rFonts w:cs="Calibri"/>
                <w:b/>
                <w:bCs/>
                <w:i/>
                <w:iCs/>
                <w:color w:val="000000" w:themeColor="text1"/>
                <w:szCs w:val="20"/>
              </w:rPr>
              <w:t>950,555</w:t>
            </w:r>
          </w:p>
        </w:tc>
        <w:tc>
          <w:tcPr>
            <w:tcW w:w="1209" w:type="pct"/>
            <w:vAlign w:val="center"/>
          </w:tcPr>
          <w:p w14:paraId="1BA92042" w14:textId="754A9614" w:rsidR="001C7703" w:rsidRPr="0040724B" w:rsidRDefault="001C7703" w:rsidP="001C7703">
            <w:pPr>
              <w:spacing w:before="0" w:after="0" w:line="276" w:lineRule="auto"/>
              <w:jc w:val="right"/>
              <w:rPr>
                <w:rFonts w:cs="Calibri"/>
                <w:b/>
                <w:bCs/>
                <w:i/>
                <w:iCs/>
                <w:color w:val="000000" w:themeColor="text1"/>
                <w:szCs w:val="20"/>
              </w:rPr>
            </w:pPr>
            <w:r w:rsidRPr="0040724B">
              <w:rPr>
                <w:rFonts w:cs="Calibri"/>
                <w:b/>
                <w:bCs/>
                <w:i/>
                <w:iCs/>
                <w:color w:val="000000" w:themeColor="text1"/>
                <w:szCs w:val="20"/>
              </w:rPr>
              <w:t>546,506</w:t>
            </w:r>
          </w:p>
        </w:tc>
      </w:tr>
    </w:tbl>
    <w:p w14:paraId="251A2ABF" w14:textId="77777777" w:rsidR="002E4F53" w:rsidRPr="0040724B" w:rsidRDefault="002E4F53" w:rsidP="002E4F53">
      <w:pPr>
        <w:spacing w:before="0" w:after="0" w:line="276" w:lineRule="auto"/>
        <w:jc w:val="left"/>
        <w:rPr>
          <w:rFonts w:cs="Calibri"/>
          <w:color w:val="000000" w:themeColor="text1"/>
          <w:szCs w:val="20"/>
        </w:rPr>
      </w:pPr>
    </w:p>
    <w:p w14:paraId="77E69DB3" w14:textId="77777777" w:rsidR="002E4F53" w:rsidRPr="0040724B" w:rsidRDefault="002E4F53" w:rsidP="002E4F53">
      <w:pPr>
        <w:rPr>
          <w:szCs w:val="20"/>
        </w:rPr>
      </w:pPr>
    </w:p>
    <w:p w14:paraId="7FCC36A3" w14:textId="77777777" w:rsidR="002E4F53" w:rsidRPr="0040724B" w:rsidRDefault="002E4F53" w:rsidP="005F66F9">
      <w:pPr>
        <w:spacing w:before="0" w:after="0" w:line="276" w:lineRule="auto"/>
        <w:rPr>
          <w:rFonts w:cs="Calibri"/>
          <w:color w:val="000000" w:themeColor="text1"/>
          <w:szCs w:val="20"/>
        </w:rPr>
      </w:pPr>
    </w:p>
    <w:sectPr w:rsidR="002E4F53" w:rsidRPr="0040724B" w:rsidSect="006E5BC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B44DA" w14:textId="77777777" w:rsidR="00263DEA" w:rsidRPr="00C7757A" w:rsidRDefault="00263DEA" w:rsidP="006547EF">
      <w:pPr>
        <w:spacing w:before="0" w:after="0"/>
      </w:pPr>
      <w:r w:rsidRPr="00C7757A">
        <w:separator/>
      </w:r>
    </w:p>
  </w:endnote>
  <w:endnote w:type="continuationSeparator" w:id="0">
    <w:p w14:paraId="42491F39" w14:textId="77777777" w:rsidR="00263DEA" w:rsidRPr="00C7757A" w:rsidRDefault="00263DEA" w:rsidP="006547EF">
      <w:pPr>
        <w:spacing w:before="0" w:after="0"/>
      </w:pPr>
      <w:r w:rsidRPr="00C7757A">
        <w:continuationSeparator/>
      </w:r>
    </w:p>
  </w:endnote>
  <w:endnote w:type="continuationNotice" w:id="1">
    <w:p w14:paraId="45F783F2" w14:textId="77777777" w:rsidR="00263DEA" w:rsidRPr="00C7757A" w:rsidRDefault="00263D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24952CBC-D3F4-47B6-915E-3A4DC475A300}"/>
    <w:embedBold r:id="rId2" w:fontKey="{A2BE12A1-CD6E-4B04-89D5-72801685967D}"/>
    <w:embedItalic r:id="rId3" w:fontKey="{7AB86CBB-3FD7-4B54-9E34-6D9B90641A6D}"/>
    <w:embedBoldItalic r:id="rId4" w:fontKey="{1A7589F2-F532-48C8-ACC1-EC3D7EBF69A6}"/>
  </w:font>
  <w:font w:name="Consolas">
    <w:panose1 w:val="020B0609020204030204"/>
    <w:charset w:val="00"/>
    <w:family w:val="modern"/>
    <w:pitch w:val="fixed"/>
    <w:sig w:usb0="E00006FF" w:usb1="0000FCFF" w:usb2="00000001" w:usb3="00000000" w:csb0="0000019F" w:csb1="00000000"/>
    <w:embedRegular r:id="rId5" w:fontKey="{7B4C2E6D-C6C1-4C1B-94F5-979262CEFFE7}"/>
  </w:font>
  <w:font w:name="Montserrat Light">
    <w:panose1 w:val="00000000000000000000"/>
    <w:charset w:val="00"/>
    <w:family w:val="modern"/>
    <w:notTrueType/>
    <w:pitch w:val="variable"/>
    <w:sig w:usb0="2000020F" w:usb1="00000003" w:usb2="00000000" w:usb3="00000000" w:csb0="00000197" w:csb1="00000000"/>
    <w:embedRegular r:id="rId6" w:fontKey="{9EB72964-DE02-4DD3-AB4C-8E3B6C06808C}"/>
  </w:font>
  <w:font w:name="Verdana">
    <w:panose1 w:val="020B0604030504040204"/>
    <w:charset w:val="EE"/>
    <w:family w:val="swiss"/>
    <w:pitch w:val="variable"/>
    <w:sig w:usb0="A00006FF" w:usb1="4000205B" w:usb2="00000010" w:usb3="00000000" w:csb0="0000019F" w:csb1="00000000"/>
    <w:embedRegular r:id="rId7" w:fontKey="{EB02E852-6418-4D0D-88FE-5F6231F481FE}"/>
  </w:font>
  <w:font w:name="Calibri Light">
    <w:panose1 w:val="020F0302020204030204"/>
    <w:charset w:val="EE"/>
    <w:family w:val="swiss"/>
    <w:pitch w:val="variable"/>
    <w:sig w:usb0="E4002EFF" w:usb1="C200247B" w:usb2="00000009" w:usb3="00000000" w:csb0="000001FF" w:csb1="00000000"/>
    <w:embedRegular r:id="rId8" w:fontKey="{5B60C17D-5500-4C95-9B65-5FD5730D3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2FDF5730" w14:textId="77777777" w:rsidR="00C07127" w:rsidRPr="00C7757A" w:rsidRDefault="00C07127">
        <w:pPr>
          <w:pStyle w:val="Zpat"/>
          <w:jc w:val="right"/>
        </w:pPr>
      </w:p>
      <w:p w14:paraId="26209D96" w14:textId="77777777" w:rsidR="00365414" w:rsidRPr="00C7757A" w:rsidRDefault="006F5BA9" w:rsidP="00C07127">
        <w:pPr>
          <w:pStyle w:val="Zpat"/>
          <w:jc w:val="right"/>
        </w:pPr>
        <w:r w:rsidRPr="00C7757A">
          <w:fldChar w:fldCharType="begin"/>
        </w:r>
        <w:r w:rsidRPr="00C7757A">
          <w:instrText>PAGE   \* MERGEFORMAT</w:instrText>
        </w:r>
        <w:r w:rsidRPr="00C7757A">
          <w:fldChar w:fldCharType="separate"/>
        </w:r>
        <w:r w:rsidRPr="00C7757A">
          <w:t>2</w:t>
        </w:r>
        <w:r w:rsidRPr="00C7757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08DB" w14:textId="023ECF27" w:rsidR="00C07127" w:rsidRPr="00C7757A" w:rsidRDefault="00C07127" w:rsidP="00C07127">
    <w:pPr>
      <w:spacing w:before="0" w:after="0" w:line="264" w:lineRule="auto"/>
      <w:jc w:val="left"/>
      <w:rPr>
        <w:rFonts w:eastAsiaTheme="minorHAnsi" w:cstheme="minorBidi"/>
        <w:sz w:val="14"/>
        <w:szCs w:val="14"/>
      </w:rPr>
    </w:pPr>
    <w:r w:rsidRPr="00C7757A">
      <w:rPr>
        <w:rFonts w:eastAsiaTheme="minorHAnsi" w:cstheme="minorBidi"/>
        <w:sz w:val="14"/>
        <w:szCs w:val="14"/>
      </w:rPr>
      <w:t xml:space="preserve">Colt CZ Group SE </w:t>
    </w:r>
    <w:r w:rsidRPr="00C7757A">
      <w:rPr>
        <w:rFonts w:eastAsiaTheme="minorHAnsi" w:cstheme="minorBidi"/>
        <w:color w:val="B1603D"/>
        <w:sz w:val="14"/>
        <w:szCs w:val="14"/>
      </w:rPr>
      <w:t>|</w:t>
    </w:r>
    <w:r w:rsidRPr="00C7757A">
      <w:rPr>
        <w:rFonts w:eastAsiaTheme="minorHAnsi" w:cstheme="minorBidi"/>
        <w:sz w:val="14"/>
        <w:szCs w:val="14"/>
      </w:rPr>
      <w:t xml:space="preserve"> </w:t>
    </w:r>
    <w:proofErr w:type="spellStart"/>
    <w:r w:rsidR="00E46709" w:rsidRPr="00C7757A">
      <w:rPr>
        <w:rFonts w:eastAsiaTheme="minorHAnsi" w:cstheme="minorBidi"/>
        <w:sz w:val="14"/>
        <w:szCs w:val="14"/>
      </w:rPr>
      <w:t>náměstí</w:t>
    </w:r>
    <w:proofErr w:type="spellEnd"/>
    <w:r w:rsidR="00E46709" w:rsidRPr="00C7757A">
      <w:rPr>
        <w:rFonts w:eastAsiaTheme="minorHAnsi" w:cstheme="minorBidi"/>
        <w:sz w:val="14"/>
        <w:szCs w:val="14"/>
      </w:rPr>
      <w:t xml:space="preserve"> </w:t>
    </w:r>
    <w:proofErr w:type="spellStart"/>
    <w:r w:rsidR="00E46709" w:rsidRPr="00C7757A">
      <w:rPr>
        <w:rFonts w:eastAsiaTheme="minorHAnsi" w:cstheme="minorBidi"/>
        <w:sz w:val="14"/>
        <w:szCs w:val="14"/>
      </w:rPr>
      <w:t>Republiky</w:t>
    </w:r>
    <w:proofErr w:type="spellEnd"/>
    <w:r w:rsidR="00E46709" w:rsidRPr="00C7757A">
      <w:rPr>
        <w:rFonts w:eastAsiaTheme="minorHAnsi" w:cstheme="minorBidi"/>
        <w:sz w:val="14"/>
        <w:szCs w:val="14"/>
      </w:rPr>
      <w:t xml:space="preserve"> 2090/3a</w:t>
    </w:r>
    <w:r w:rsidRPr="00C7757A">
      <w:rPr>
        <w:rFonts w:eastAsiaTheme="minorHAnsi" w:cstheme="minorBidi"/>
        <w:sz w:val="14"/>
        <w:szCs w:val="14"/>
      </w:rPr>
      <w:t xml:space="preserve">, 110 00 Prague 1, Czech Republic </w:t>
    </w:r>
    <w:r w:rsidRPr="00C7757A">
      <w:rPr>
        <w:rFonts w:eastAsiaTheme="minorHAnsi" w:cstheme="minorBidi"/>
        <w:color w:val="B1603D"/>
        <w:sz w:val="14"/>
        <w:szCs w:val="14"/>
      </w:rPr>
      <w:t>|</w:t>
    </w:r>
    <w:r w:rsidRPr="00C7757A">
      <w:rPr>
        <w:rFonts w:eastAsiaTheme="minorHAnsi" w:cstheme="minorBidi"/>
        <w:sz w:val="14"/>
        <w:szCs w:val="14"/>
      </w:rPr>
      <w:t xml:space="preserve"> TIN 29151961 </w:t>
    </w:r>
    <w:r w:rsidRPr="00C7757A">
      <w:rPr>
        <w:rFonts w:eastAsiaTheme="minorHAnsi" w:cstheme="minorBidi"/>
        <w:color w:val="B1603D"/>
        <w:sz w:val="14"/>
        <w:szCs w:val="14"/>
      </w:rPr>
      <w:t>|</w:t>
    </w:r>
    <w:r w:rsidRPr="00C7757A">
      <w:rPr>
        <w:rFonts w:eastAsiaTheme="minorHAnsi" w:cstheme="minorBidi"/>
        <w:sz w:val="14"/>
        <w:szCs w:val="14"/>
      </w:rPr>
      <w:t xml:space="preserve"> VAT CZ 29151961</w:t>
    </w:r>
  </w:p>
  <w:p w14:paraId="609DB7A9" w14:textId="77777777" w:rsidR="002D1D6E" w:rsidRPr="00C7757A" w:rsidRDefault="00C07127" w:rsidP="00C07127">
    <w:pPr>
      <w:pStyle w:val="Zpat"/>
      <w:jc w:val="left"/>
    </w:pPr>
    <w:r w:rsidRPr="00C7757A">
      <w:rPr>
        <w:rFonts w:eastAsiaTheme="minorHAnsi" w:cstheme="minorBidi"/>
        <w:sz w:val="14"/>
        <w:szCs w:val="14"/>
      </w:rPr>
      <w:t xml:space="preserve">Registered in Commercial Register kept by the Municipal Court in Prague, File H 962                                                 </w:t>
    </w:r>
    <w:r w:rsidRPr="00C7757A">
      <w:rPr>
        <w:rFonts w:eastAsiaTheme="minorHAnsi" w:cstheme="minorBidi"/>
        <w:color w:val="B1603D"/>
        <w:sz w:val="14"/>
        <w:szCs w:val="14"/>
      </w:rPr>
      <w:t>coltczgroup.com</w:t>
    </w:r>
    <w:r w:rsidRPr="00C7757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47A3D" w14:textId="77777777" w:rsidR="00263DEA" w:rsidRPr="00C7757A" w:rsidRDefault="00263DEA" w:rsidP="006547EF">
      <w:pPr>
        <w:spacing w:before="0" w:after="0"/>
      </w:pPr>
      <w:r w:rsidRPr="00C7757A">
        <w:separator/>
      </w:r>
    </w:p>
  </w:footnote>
  <w:footnote w:type="continuationSeparator" w:id="0">
    <w:p w14:paraId="77A059FC" w14:textId="77777777" w:rsidR="00263DEA" w:rsidRPr="00C7757A" w:rsidRDefault="00263DEA" w:rsidP="006547EF">
      <w:pPr>
        <w:spacing w:before="0" w:after="0"/>
      </w:pPr>
      <w:r w:rsidRPr="00C7757A">
        <w:continuationSeparator/>
      </w:r>
    </w:p>
  </w:footnote>
  <w:footnote w:type="continuationNotice" w:id="1">
    <w:p w14:paraId="3994E19A" w14:textId="77777777" w:rsidR="00263DEA" w:rsidRPr="00C7757A" w:rsidRDefault="00263DEA">
      <w:pPr>
        <w:spacing w:before="0" w:after="0"/>
      </w:pPr>
    </w:p>
  </w:footnote>
  <w:footnote w:id="2">
    <w:p w14:paraId="7B82F29E" w14:textId="0AA85BA2" w:rsidR="008051EA" w:rsidRPr="00C7757A" w:rsidRDefault="008051EA" w:rsidP="008051EA">
      <w:pPr>
        <w:pStyle w:val="Textpoznpodarou"/>
      </w:pPr>
      <w:r w:rsidRPr="00C7757A">
        <w:rPr>
          <w:rStyle w:val="Znakapoznpodarou"/>
        </w:rPr>
        <w:footnoteRef/>
      </w:r>
      <w:r w:rsidRPr="00C7757A">
        <w:t xml:space="preserve"> </w:t>
      </w:r>
      <w:r w:rsidR="00CB54A2" w:rsidRPr="00C7757A">
        <w:rPr>
          <w:sz w:val="14"/>
          <w:szCs w:val="14"/>
        </w:rPr>
        <w:t xml:space="preserve">One-off adjustments </w:t>
      </w:r>
      <w:r w:rsidR="008149E9" w:rsidRPr="00C7757A">
        <w:rPr>
          <w:sz w:val="14"/>
          <w:szCs w:val="14"/>
        </w:rPr>
        <w:t xml:space="preserve">are </w:t>
      </w:r>
      <w:r w:rsidR="00CB54A2" w:rsidRPr="00C7757A">
        <w:rPr>
          <w:sz w:val="14"/>
          <w:szCs w:val="14"/>
        </w:rPr>
        <w:t>described in the appendix</w:t>
      </w:r>
    </w:p>
  </w:footnote>
  <w:footnote w:id="3">
    <w:p w14:paraId="0F726FC1" w14:textId="0EEF0943" w:rsidR="0017605D" w:rsidRPr="00C7757A" w:rsidRDefault="0017605D">
      <w:pPr>
        <w:pStyle w:val="Textpoznpodarou"/>
      </w:pPr>
      <w:r w:rsidRPr="00C7757A">
        <w:rPr>
          <w:rStyle w:val="Znakapoznpodarou"/>
          <w:sz w:val="14"/>
          <w:szCs w:val="14"/>
        </w:rPr>
        <w:footnoteRef/>
      </w:r>
      <w:r w:rsidRPr="00C7757A">
        <w:t xml:space="preserve"> </w:t>
      </w:r>
      <w:r w:rsidR="001C7703" w:rsidRPr="001C7703">
        <w:rPr>
          <w:sz w:val="14"/>
          <w:szCs w:val="14"/>
        </w:rPr>
        <w:t xml:space="preserve">In the first three months of 2026, EBITDA was adjusted by extraordinary one-off costs related to acquisitions, one-off expenses connected with commodity hedging of Sellier &amp; Bellot and inventory </w:t>
      </w:r>
      <w:r w:rsidR="0036103F">
        <w:rPr>
          <w:sz w:val="14"/>
          <w:szCs w:val="14"/>
        </w:rPr>
        <w:t>step-up</w:t>
      </w:r>
      <w:r w:rsidR="001C7703" w:rsidRPr="001C7703">
        <w:rPr>
          <w:sz w:val="14"/>
          <w:szCs w:val="14"/>
        </w:rPr>
        <w:t xml:space="preserve"> </w:t>
      </w:r>
      <w:r w:rsidR="001C7703">
        <w:rPr>
          <w:sz w:val="14"/>
          <w:szCs w:val="14"/>
        </w:rPr>
        <w:t>of</w:t>
      </w:r>
      <w:r w:rsidR="001C7703" w:rsidRPr="001C7703">
        <w:rPr>
          <w:sz w:val="14"/>
          <w:szCs w:val="14"/>
        </w:rPr>
        <w:t xml:space="preserve"> </w:t>
      </w:r>
      <w:r w:rsidR="001C7703">
        <w:rPr>
          <w:sz w:val="14"/>
          <w:szCs w:val="14"/>
        </w:rPr>
        <w:t xml:space="preserve">VSS and </w:t>
      </w:r>
      <w:r w:rsidR="001C7703" w:rsidRPr="001C7703">
        <w:rPr>
          <w:sz w:val="14"/>
          <w:szCs w:val="14"/>
        </w:rPr>
        <w:t xml:space="preserve">Synthesia Nitrocellulose, which are generally unrelated to ordinary operations and value creation in the given period. </w:t>
      </w:r>
      <w:r w:rsidR="009F2BF2" w:rsidRPr="00C7757A">
        <w:rPr>
          <w:sz w:val="14"/>
          <w:szCs w:val="14"/>
        </w:rPr>
        <w:t>In the first three months of 2025</w:t>
      </w:r>
      <w:r w:rsidR="00842BFA" w:rsidRPr="00C7757A">
        <w:rPr>
          <w:sz w:val="14"/>
          <w:szCs w:val="14"/>
        </w:rPr>
        <w:t>, EBITDA was adjusted by one-off items related to unrealized M&amp;A expenses and legacy costs related to acquisitions, payments related to the employee stock option plan</w:t>
      </w:r>
      <w:r w:rsidR="008D308C" w:rsidRPr="00C7757A">
        <w:rPr>
          <w:sz w:val="14"/>
          <w:szCs w:val="14"/>
        </w:rPr>
        <w:t xml:space="preserve"> and </w:t>
      </w:r>
      <w:r w:rsidR="00842BFA" w:rsidRPr="00C7757A">
        <w:rPr>
          <w:sz w:val="14"/>
          <w:szCs w:val="14"/>
        </w:rPr>
        <w:t>one-off expenses connected with the commodity hedging</w:t>
      </w:r>
      <w:r w:rsidR="00116CE7" w:rsidRPr="00C7757A">
        <w:rPr>
          <w:sz w:val="14"/>
          <w:szCs w:val="14"/>
        </w:rPr>
        <w:t xml:space="preserve"> of Sellier &amp; Bellot</w:t>
      </w:r>
      <w:r w:rsidR="00842BFA" w:rsidRPr="00C7757A">
        <w:rPr>
          <w:sz w:val="14"/>
          <w:szCs w:val="14"/>
        </w:rPr>
        <w:t xml:space="preserve">, which are unrelated to operational performance and value creation in the given period. </w:t>
      </w:r>
    </w:p>
  </w:footnote>
  <w:footnote w:id="4">
    <w:p w14:paraId="5DF8692A" w14:textId="2D42BF11" w:rsidR="00C30947" w:rsidRPr="00C30947" w:rsidRDefault="00C30947" w:rsidP="009D6D75">
      <w:pPr>
        <w:pStyle w:val="Textpoznpodarou"/>
        <w:rPr>
          <w:sz w:val="14"/>
          <w:szCs w:val="14"/>
        </w:rPr>
      </w:pPr>
      <w:r w:rsidRPr="00C7757A">
        <w:rPr>
          <w:rStyle w:val="Znakapoznpodarou"/>
          <w:sz w:val="14"/>
          <w:szCs w:val="14"/>
        </w:rPr>
        <w:footnoteRef/>
      </w:r>
      <w:r w:rsidRPr="00C7757A">
        <w:rPr>
          <w:sz w:val="14"/>
          <w:szCs w:val="14"/>
        </w:rPr>
        <w:t xml:space="preserve"> </w:t>
      </w:r>
      <w:r w:rsidR="001C7703" w:rsidRPr="001C7703">
        <w:rPr>
          <w:sz w:val="14"/>
          <w:szCs w:val="14"/>
        </w:rPr>
        <w:t xml:space="preserve">In the first three months of 2026, net profit was adjusted by extraordinary one-off costs related to acquisitions, bond issue costs and bank fees related to acquisition financing, and inventory </w:t>
      </w:r>
      <w:r w:rsidR="0036103F">
        <w:rPr>
          <w:sz w:val="14"/>
          <w:szCs w:val="14"/>
        </w:rPr>
        <w:t>step-up</w:t>
      </w:r>
      <w:r w:rsidR="001C7703" w:rsidRPr="001C7703">
        <w:rPr>
          <w:sz w:val="14"/>
          <w:szCs w:val="14"/>
        </w:rPr>
        <w:t xml:space="preserve"> of </w:t>
      </w:r>
      <w:r w:rsidR="001C7703">
        <w:rPr>
          <w:sz w:val="14"/>
          <w:szCs w:val="14"/>
        </w:rPr>
        <w:t xml:space="preserve">VSS and </w:t>
      </w:r>
      <w:r w:rsidR="001C7703" w:rsidRPr="001C7703">
        <w:rPr>
          <w:sz w:val="14"/>
          <w:szCs w:val="14"/>
        </w:rPr>
        <w:t>Synthesia Nitrocellulose, which are generally unrelated to ordinary operations and value creation in the given period.</w:t>
      </w:r>
      <w:r w:rsidR="001C7703">
        <w:rPr>
          <w:sz w:val="14"/>
          <w:szCs w:val="14"/>
        </w:rPr>
        <w:t xml:space="preserve"> </w:t>
      </w:r>
      <w:r w:rsidR="00DE0DBB" w:rsidRPr="00C7757A">
        <w:rPr>
          <w:sz w:val="14"/>
          <w:szCs w:val="14"/>
        </w:rPr>
        <w:t>In the first three months of 2025</w:t>
      </w:r>
      <w:r w:rsidR="0071130C" w:rsidRPr="00C7757A">
        <w:rPr>
          <w:sz w:val="14"/>
          <w:szCs w:val="14"/>
        </w:rPr>
        <w:t xml:space="preserve">, net profit was adjusted by one-off items related to unrealized M&amp;A expenses and legacy costs related to acquisitions, payments related to the employee stock option plan, one-off expenses connected with the commodity hedging </w:t>
      </w:r>
      <w:r w:rsidR="00894173" w:rsidRPr="00C7757A">
        <w:rPr>
          <w:sz w:val="14"/>
          <w:szCs w:val="14"/>
        </w:rPr>
        <w:t>of Sellier &amp; Bellot</w:t>
      </w:r>
      <w:r w:rsidR="008C2FA4">
        <w:rPr>
          <w:sz w:val="14"/>
          <w:szCs w:val="14"/>
        </w:rPr>
        <w:t xml:space="preserve">, </w:t>
      </w:r>
      <w:r w:rsidR="0071130C" w:rsidRPr="00C7757A">
        <w:rPr>
          <w:sz w:val="14"/>
          <w:szCs w:val="14"/>
        </w:rPr>
        <w:t xml:space="preserve">bank fees related with acquisition loan and financing cost related to bond issue, which are unrelated to operational performance and value creation in the given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C7757A" w:rsidRDefault="0034239F" w:rsidP="0034239F">
    <w:pPr>
      <w:pStyle w:val="Zhlav"/>
      <w:ind w:hanging="1560"/>
    </w:pPr>
    <w:r w:rsidRPr="00C7757A">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Pr="00C7757A" w:rsidRDefault="000D4999" w:rsidP="0020291C">
    <w:pPr>
      <w:pStyle w:val="Zhlav"/>
      <w:ind w:hanging="1560"/>
    </w:pPr>
    <w:r w:rsidRPr="00C7757A">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3B8684D"/>
    <w:multiLevelType w:val="multilevel"/>
    <w:tmpl w:val="3AE6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8" w15:restartNumberingAfterBreak="0">
    <w:nsid w:val="402E7167"/>
    <w:multiLevelType w:val="multilevel"/>
    <w:tmpl w:val="9142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544A8"/>
    <w:multiLevelType w:val="hybridMultilevel"/>
    <w:tmpl w:val="53788DB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1"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2"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4"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6"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7"/>
  </w:num>
  <w:num w:numId="3" w16cid:durableId="1963270480">
    <w:abstractNumId w:val="4"/>
  </w:num>
  <w:num w:numId="4" w16cid:durableId="1445535303">
    <w:abstractNumId w:val="13"/>
  </w:num>
  <w:num w:numId="5" w16cid:durableId="1664553959">
    <w:abstractNumId w:val="11"/>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6"/>
  </w:num>
  <w:num w:numId="10" w16cid:durableId="933167612">
    <w:abstractNumId w:val="15"/>
  </w:num>
  <w:num w:numId="11" w16cid:durableId="928585113">
    <w:abstractNumId w:val="5"/>
  </w:num>
  <w:num w:numId="12" w16cid:durableId="1345329188">
    <w:abstractNumId w:val="1"/>
  </w:num>
  <w:num w:numId="13" w16cid:durableId="1113207142">
    <w:abstractNumId w:val="2"/>
  </w:num>
  <w:num w:numId="14" w16cid:durableId="1998724872">
    <w:abstractNumId w:val="12"/>
  </w:num>
  <w:num w:numId="15" w16cid:durableId="1587886434">
    <w:abstractNumId w:val="14"/>
  </w:num>
  <w:num w:numId="16" w16cid:durableId="1133596005">
    <w:abstractNumId w:val="10"/>
  </w:num>
  <w:num w:numId="17" w16cid:durableId="1348871354">
    <w:abstractNumId w:val="1"/>
  </w:num>
  <w:num w:numId="18" w16cid:durableId="1742752530">
    <w:abstractNumId w:val="1"/>
  </w:num>
  <w:num w:numId="19" w16cid:durableId="805850603">
    <w:abstractNumId w:val="1"/>
  </w:num>
  <w:num w:numId="20" w16cid:durableId="601761198">
    <w:abstractNumId w:val="8"/>
  </w:num>
  <w:num w:numId="21" w16cid:durableId="922880434">
    <w:abstractNumId w:val="6"/>
  </w:num>
  <w:num w:numId="22" w16cid:durableId="722948601">
    <w:abstractNumId w:val="1"/>
  </w:num>
  <w:num w:numId="23" w16cid:durableId="14798104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30"/>
    <w:rsid w:val="0001238C"/>
    <w:rsid w:val="000131E4"/>
    <w:rsid w:val="00022209"/>
    <w:rsid w:val="00023C8A"/>
    <w:rsid w:val="0002449E"/>
    <w:rsid w:val="0002466C"/>
    <w:rsid w:val="000251D1"/>
    <w:rsid w:val="00027A16"/>
    <w:rsid w:val="00030979"/>
    <w:rsid w:val="0003344B"/>
    <w:rsid w:val="0003371F"/>
    <w:rsid w:val="00034192"/>
    <w:rsid w:val="000367FD"/>
    <w:rsid w:val="000442D7"/>
    <w:rsid w:val="000448F0"/>
    <w:rsid w:val="00052CEA"/>
    <w:rsid w:val="000564C9"/>
    <w:rsid w:val="00056D2A"/>
    <w:rsid w:val="00056E95"/>
    <w:rsid w:val="00056F50"/>
    <w:rsid w:val="000575CB"/>
    <w:rsid w:val="00057664"/>
    <w:rsid w:val="00057C35"/>
    <w:rsid w:val="0006402A"/>
    <w:rsid w:val="00064A85"/>
    <w:rsid w:val="00064D2F"/>
    <w:rsid w:val="0006556B"/>
    <w:rsid w:val="000672C0"/>
    <w:rsid w:val="00067C03"/>
    <w:rsid w:val="00071518"/>
    <w:rsid w:val="00072A47"/>
    <w:rsid w:val="0007420F"/>
    <w:rsid w:val="00074647"/>
    <w:rsid w:val="000760F9"/>
    <w:rsid w:val="00082C36"/>
    <w:rsid w:val="000853E2"/>
    <w:rsid w:val="00086456"/>
    <w:rsid w:val="000867A9"/>
    <w:rsid w:val="000916EE"/>
    <w:rsid w:val="00091D13"/>
    <w:rsid w:val="0009241A"/>
    <w:rsid w:val="0009307E"/>
    <w:rsid w:val="000951F9"/>
    <w:rsid w:val="000A01C5"/>
    <w:rsid w:val="000A0F7A"/>
    <w:rsid w:val="000A1510"/>
    <w:rsid w:val="000A2170"/>
    <w:rsid w:val="000A2AB7"/>
    <w:rsid w:val="000A44C2"/>
    <w:rsid w:val="000B113A"/>
    <w:rsid w:val="000B285A"/>
    <w:rsid w:val="000B4E5A"/>
    <w:rsid w:val="000B64D9"/>
    <w:rsid w:val="000C3EA8"/>
    <w:rsid w:val="000C41AD"/>
    <w:rsid w:val="000C591D"/>
    <w:rsid w:val="000C5C50"/>
    <w:rsid w:val="000C7C93"/>
    <w:rsid w:val="000D2484"/>
    <w:rsid w:val="000D2B40"/>
    <w:rsid w:val="000D4999"/>
    <w:rsid w:val="000E1647"/>
    <w:rsid w:val="000E2082"/>
    <w:rsid w:val="000E2E44"/>
    <w:rsid w:val="000E364B"/>
    <w:rsid w:val="000F0F51"/>
    <w:rsid w:val="000F12DC"/>
    <w:rsid w:val="000F5E4B"/>
    <w:rsid w:val="000F5F57"/>
    <w:rsid w:val="000F7895"/>
    <w:rsid w:val="00101C11"/>
    <w:rsid w:val="001032CB"/>
    <w:rsid w:val="00106FA4"/>
    <w:rsid w:val="0011114F"/>
    <w:rsid w:val="00112E61"/>
    <w:rsid w:val="001147C8"/>
    <w:rsid w:val="0011598F"/>
    <w:rsid w:val="00115A57"/>
    <w:rsid w:val="00115DF3"/>
    <w:rsid w:val="00116CE7"/>
    <w:rsid w:val="00117507"/>
    <w:rsid w:val="001207D7"/>
    <w:rsid w:val="001213FC"/>
    <w:rsid w:val="00121FB2"/>
    <w:rsid w:val="0012294A"/>
    <w:rsid w:val="00122C44"/>
    <w:rsid w:val="00127432"/>
    <w:rsid w:val="001301DF"/>
    <w:rsid w:val="00133624"/>
    <w:rsid w:val="00134017"/>
    <w:rsid w:val="001364DD"/>
    <w:rsid w:val="001366D1"/>
    <w:rsid w:val="00140240"/>
    <w:rsid w:val="00141ED8"/>
    <w:rsid w:val="00141EFD"/>
    <w:rsid w:val="0014227C"/>
    <w:rsid w:val="001439B2"/>
    <w:rsid w:val="00143CBE"/>
    <w:rsid w:val="0014405F"/>
    <w:rsid w:val="0014667D"/>
    <w:rsid w:val="0014761B"/>
    <w:rsid w:val="00154F03"/>
    <w:rsid w:val="001554EB"/>
    <w:rsid w:val="00155778"/>
    <w:rsid w:val="001569E9"/>
    <w:rsid w:val="001574B8"/>
    <w:rsid w:val="00157787"/>
    <w:rsid w:val="001601D4"/>
    <w:rsid w:val="001609F1"/>
    <w:rsid w:val="00165DFB"/>
    <w:rsid w:val="0016667A"/>
    <w:rsid w:val="001674A1"/>
    <w:rsid w:val="00173D2F"/>
    <w:rsid w:val="0017605D"/>
    <w:rsid w:val="00180465"/>
    <w:rsid w:val="00180514"/>
    <w:rsid w:val="0018077D"/>
    <w:rsid w:val="00181D60"/>
    <w:rsid w:val="00182027"/>
    <w:rsid w:val="00187CE5"/>
    <w:rsid w:val="00190F3F"/>
    <w:rsid w:val="00195F4F"/>
    <w:rsid w:val="001979A2"/>
    <w:rsid w:val="001A23F4"/>
    <w:rsid w:val="001A2694"/>
    <w:rsid w:val="001A2864"/>
    <w:rsid w:val="001A6C6E"/>
    <w:rsid w:val="001B075A"/>
    <w:rsid w:val="001B0AD0"/>
    <w:rsid w:val="001C5673"/>
    <w:rsid w:val="001C5E20"/>
    <w:rsid w:val="001C7703"/>
    <w:rsid w:val="001D0516"/>
    <w:rsid w:val="001D0BCF"/>
    <w:rsid w:val="001D1FCC"/>
    <w:rsid w:val="001D228C"/>
    <w:rsid w:val="001D4AAF"/>
    <w:rsid w:val="001D5989"/>
    <w:rsid w:val="001D63AA"/>
    <w:rsid w:val="001E244A"/>
    <w:rsid w:val="001E761F"/>
    <w:rsid w:val="001F46AC"/>
    <w:rsid w:val="001F70F6"/>
    <w:rsid w:val="00200002"/>
    <w:rsid w:val="0020231E"/>
    <w:rsid w:val="0020291C"/>
    <w:rsid w:val="0020391C"/>
    <w:rsid w:val="0021170C"/>
    <w:rsid w:val="002142A8"/>
    <w:rsid w:val="002144BD"/>
    <w:rsid w:val="00215774"/>
    <w:rsid w:val="00216384"/>
    <w:rsid w:val="00216B6B"/>
    <w:rsid w:val="002222D3"/>
    <w:rsid w:val="00226BCC"/>
    <w:rsid w:val="00234EA2"/>
    <w:rsid w:val="00235088"/>
    <w:rsid w:val="0023659E"/>
    <w:rsid w:val="0024081D"/>
    <w:rsid w:val="00242107"/>
    <w:rsid w:val="00242D92"/>
    <w:rsid w:val="00246EC6"/>
    <w:rsid w:val="00247236"/>
    <w:rsid w:val="002502AA"/>
    <w:rsid w:val="00250951"/>
    <w:rsid w:val="00251A65"/>
    <w:rsid w:val="00251DB4"/>
    <w:rsid w:val="0025285A"/>
    <w:rsid w:val="00253DC5"/>
    <w:rsid w:val="00261491"/>
    <w:rsid w:val="00261CB1"/>
    <w:rsid w:val="0026275C"/>
    <w:rsid w:val="00263DEA"/>
    <w:rsid w:val="00267F27"/>
    <w:rsid w:val="00270D0C"/>
    <w:rsid w:val="00273164"/>
    <w:rsid w:val="00274177"/>
    <w:rsid w:val="0027508E"/>
    <w:rsid w:val="002773F9"/>
    <w:rsid w:val="00280738"/>
    <w:rsid w:val="002808BD"/>
    <w:rsid w:val="00282D4C"/>
    <w:rsid w:val="002861C8"/>
    <w:rsid w:val="00286327"/>
    <w:rsid w:val="0028687E"/>
    <w:rsid w:val="00291A8B"/>
    <w:rsid w:val="0029223D"/>
    <w:rsid w:val="002964C6"/>
    <w:rsid w:val="00296C2D"/>
    <w:rsid w:val="002974E5"/>
    <w:rsid w:val="002A2470"/>
    <w:rsid w:val="002A7327"/>
    <w:rsid w:val="002B146A"/>
    <w:rsid w:val="002B40E5"/>
    <w:rsid w:val="002B4FA7"/>
    <w:rsid w:val="002B563A"/>
    <w:rsid w:val="002B75C7"/>
    <w:rsid w:val="002C0C69"/>
    <w:rsid w:val="002C0D3E"/>
    <w:rsid w:val="002C1115"/>
    <w:rsid w:val="002C27C4"/>
    <w:rsid w:val="002D1D6E"/>
    <w:rsid w:val="002D226A"/>
    <w:rsid w:val="002D2856"/>
    <w:rsid w:val="002D689D"/>
    <w:rsid w:val="002E1DD9"/>
    <w:rsid w:val="002E3F3F"/>
    <w:rsid w:val="002E4F53"/>
    <w:rsid w:val="002E5859"/>
    <w:rsid w:val="002E7110"/>
    <w:rsid w:val="002F345B"/>
    <w:rsid w:val="002F54D8"/>
    <w:rsid w:val="002F76D7"/>
    <w:rsid w:val="002F7C52"/>
    <w:rsid w:val="00300763"/>
    <w:rsid w:val="003049F9"/>
    <w:rsid w:val="00304BB8"/>
    <w:rsid w:val="003050DE"/>
    <w:rsid w:val="003136EA"/>
    <w:rsid w:val="0032033D"/>
    <w:rsid w:val="0032317D"/>
    <w:rsid w:val="00326B9C"/>
    <w:rsid w:val="0032761A"/>
    <w:rsid w:val="00327F29"/>
    <w:rsid w:val="0033172D"/>
    <w:rsid w:val="00331873"/>
    <w:rsid w:val="00333FDB"/>
    <w:rsid w:val="00336577"/>
    <w:rsid w:val="00336802"/>
    <w:rsid w:val="00337D08"/>
    <w:rsid w:val="003400C0"/>
    <w:rsid w:val="00340CD9"/>
    <w:rsid w:val="00341C6E"/>
    <w:rsid w:val="0034239F"/>
    <w:rsid w:val="00342642"/>
    <w:rsid w:val="00342EF0"/>
    <w:rsid w:val="00343AED"/>
    <w:rsid w:val="00344959"/>
    <w:rsid w:val="003463AE"/>
    <w:rsid w:val="003549ED"/>
    <w:rsid w:val="00355553"/>
    <w:rsid w:val="0036103F"/>
    <w:rsid w:val="00361F16"/>
    <w:rsid w:val="00362ADC"/>
    <w:rsid w:val="00363EE6"/>
    <w:rsid w:val="00364426"/>
    <w:rsid w:val="00364F2B"/>
    <w:rsid w:val="00365414"/>
    <w:rsid w:val="0036581C"/>
    <w:rsid w:val="0036774D"/>
    <w:rsid w:val="0037088C"/>
    <w:rsid w:val="00373815"/>
    <w:rsid w:val="0037428E"/>
    <w:rsid w:val="00380327"/>
    <w:rsid w:val="00380755"/>
    <w:rsid w:val="003839CF"/>
    <w:rsid w:val="00384EEB"/>
    <w:rsid w:val="00395BAD"/>
    <w:rsid w:val="0039666F"/>
    <w:rsid w:val="003A243F"/>
    <w:rsid w:val="003A470F"/>
    <w:rsid w:val="003A68FD"/>
    <w:rsid w:val="003A7057"/>
    <w:rsid w:val="003B0AE3"/>
    <w:rsid w:val="003B4B29"/>
    <w:rsid w:val="003B507B"/>
    <w:rsid w:val="003B5666"/>
    <w:rsid w:val="003C0DF2"/>
    <w:rsid w:val="003C2A50"/>
    <w:rsid w:val="003C38CD"/>
    <w:rsid w:val="003C3C95"/>
    <w:rsid w:val="003C6302"/>
    <w:rsid w:val="003C7488"/>
    <w:rsid w:val="003D1F61"/>
    <w:rsid w:val="003D39C3"/>
    <w:rsid w:val="003D4AFF"/>
    <w:rsid w:val="003D57D7"/>
    <w:rsid w:val="003D59CB"/>
    <w:rsid w:val="003D6AB2"/>
    <w:rsid w:val="003F02AB"/>
    <w:rsid w:val="003F135B"/>
    <w:rsid w:val="003F1D54"/>
    <w:rsid w:val="003F338E"/>
    <w:rsid w:val="003F3C47"/>
    <w:rsid w:val="003F6501"/>
    <w:rsid w:val="0040535D"/>
    <w:rsid w:val="0040668A"/>
    <w:rsid w:val="00406785"/>
    <w:rsid w:val="0040724B"/>
    <w:rsid w:val="00407C36"/>
    <w:rsid w:val="00410523"/>
    <w:rsid w:val="00411D94"/>
    <w:rsid w:val="00413926"/>
    <w:rsid w:val="00414E43"/>
    <w:rsid w:val="00415FC0"/>
    <w:rsid w:val="0041654A"/>
    <w:rsid w:val="00420B18"/>
    <w:rsid w:val="0042121D"/>
    <w:rsid w:val="004232C7"/>
    <w:rsid w:val="004245D1"/>
    <w:rsid w:val="004248A9"/>
    <w:rsid w:val="004261DC"/>
    <w:rsid w:val="00427EA7"/>
    <w:rsid w:val="004406BA"/>
    <w:rsid w:val="0044247C"/>
    <w:rsid w:val="0044388C"/>
    <w:rsid w:val="00444BA2"/>
    <w:rsid w:val="0045249C"/>
    <w:rsid w:val="00455BC6"/>
    <w:rsid w:val="00460B55"/>
    <w:rsid w:val="0046227D"/>
    <w:rsid w:val="00463FE0"/>
    <w:rsid w:val="00466EBA"/>
    <w:rsid w:val="00467A68"/>
    <w:rsid w:val="004718A8"/>
    <w:rsid w:val="00471E2F"/>
    <w:rsid w:val="00472FCB"/>
    <w:rsid w:val="00473455"/>
    <w:rsid w:val="00476FC9"/>
    <w:rsid w:val="00482895"/>
    <w:rsid w:val="004859A5"/>
    <w:rsid w:val="00490F14"/>
    <w:rsid w:val="004929D0"/>
    <w:rsid w:val="00495CAC"/>
    <w:rsid w:val="00497763"/>
    <w:rsid w:val="004A0470"/>
    <w:rsid w:val="004A24AA"/>
    <w:rsid w:val="004A58DB"/>
    <w:rsid w:val="004A5BC9"/>
    <w:rsid w:val="004A6647"/>
    <w:rsid w:val="004A7598"/>
    <w:rsid w:val="004B217D"/>
    <w:rsid w:val="004B2C46"/>
    <w:rsid w:val="004C2966"/>
    <w:rsid w:val="004C455A"/>
    <w:rsid w:val="004C4C38"/>
    <w:rsid w:val="004C6FC1"/>
    <w:rsid w:val="004D171F"/>
    <w:rsid w:val="004D1F14"/>
    <w:rsid w:val="004D2E22"/>
    <w:rsid w:val="004D3CAE"/>
    <w:rsid w:val="004D69C4"/>
    <w:rsid w:val="004D78F8"/>
    <w:rsid w:val="004E5973"/>
    <w:rsid w:val="004E7C09"/>
    <w:rsid w:val="004F0513"/>
    <w:rsid w:val="004F064E"/>
    <w:rsid w:val="004F5371"/>
    <w:rsid w:val="004F5801"/>
    <w:rsid w:val="004F68EC"/>
    <w:rsid w:val="004F744A"/>
    <w:rsid w:val="004F7DFE"/>
    <w:rsid w:val="00500F28"/>
    <w:rsid w:val="0050173C"/>
    <w:rsid w:val="005024CB"/>
    <w:rsid w:val="00503303"/>
    <w:rsid w:val="00504EB8"/>
    <w:rsid w:val="00505DED"/>
    <w:rsid w:val="00506BFB"/>
    <w:rsid w:val="00507211"/>
    <w:rsid w:val="00513F3A"/>
    <w:rsid w:val="005166BE"/>
    <w:rsid w:val="00516D72"/>
    <w:rsid w:val="00520476"/>
    <w:rsid w:val="005216A5"/>
    <w:rsid w:val="005254F0"/>
    <w:rsid w:val="00526C58"/>
    <w:rsid w:val="00527BBE"/>
    <w:rsid w:val="00530EFA"/>
    <w:rsid w:val="0053783C"/>
    <w:rsid w:val="00537B91"/>
    <w:rsid w:val="00542E46"/>
    <w:rsid w:val="00544659"/>
    <w:rsid w:val="00552AE2"/>
    <w:rsid w:val="00557CFA"/>
    <w:rsid w:val="0056413C"/>
    <w:rsid w:val="005713EF"/>
    <w:rsid w:val="00573578"/>
    <w:rsid w:val="005749B6"/>
    <w:rsid w:val="00581071"/>
    <w:rsid w:val="00582330"/>
    <w:rsid w:val="0059288A"/>
    <w:rsid w:val="0059405D"/>
    <w:rsid w:val="00595667"/>
    <w:rsid w:val="0059580C"/>
    <w:rsid w:val="00596ED3"/>
    <w:rsid w:val="005A0987"/>
    <w:rsid w:val="005A1166"/>
    <w:rsid w:val="005A17BE"/>
    <w:rsid w:val="005A234F"/>
    <w:rsid w:val="005A3D15"/>
    <w:rsid w:val="005A439C"/>
    <w:rsid w:val="005A44E1"/>
    <w:rsid w:val="005A6FE8"/>
    <w:rsid w:val="005A774F"/>
    <w:rsid w:val="005B02A3"/>
    <w:rsid w:val="005B130F"/>
    <w:rsid w:val="005B60BB"/>
    <w:rsid w:val="005B6167"/>
    <w:rsid w:val="005C30E4"/>
    <w:rsid w:val="005C4221"/>
    <w:rsid w:val="005C5E6F"/>
    <w:rsid w:val="005D35CC"/>
    <w:rsid w:val="005D4F84"/>
    <w:rsid w:val="005D5074"/>
    <w:rsid w:val="005D586E"/>
    <w:rsid w:val="005D5DCD"/>
    <w:rsid w:val="005D687C"/>
    <w:rsid w:val="005E5406"/>
    <w:rsid w:val="005F55FF"/>
    <w:rsid w:val="005F5A15"/>
    <w:rsid w:val="005F66F9"/>
    <w:rsid w:val="005F6A5A"/>
    <w:rsid w:val="006037CD"/>
    <w:rsid w:val="0060517E"/>
    <w:rsid w:val="00605DEB"/>
    <w:rsid w:val="006061D4"/>
    <w:rsid w:val="00612B76"/>
    <w:rsid w:val="00614DB5"/>
    <w:rsid w:val="0061745C"/>
    <w:rsid w:val="00620FD1"/>
    <w:rsid w:val="00627C19"/>
    <w:rsid w:val="006308CB"/>
    <w:rsid w:val="0063099F"/>
    <w:rsid w:val="006348C5"/>
    <w:rsid w:val="00635F5E"/>
    <w:rsid w:val="00637284"/>
    <w:rsid w:val="00637377"/>
    <w:rsid w:val="006400BF"/>
    <w:rsid w:val="006403D8"/>
    <w:rsid w:val="00642806"/>
    <w:rsid w:val="00644274"/>
    <w:rsid w:val="006463DD"/>
    <w:rsid w:val="0064672D"/>
    <w:rsid w:val="006503F9"/>
    <w:rsid w:val="00650DF0"/>
    <w:rsid w:val="00651E4E"/>
    <w:rsid w:val="00653CD7"/>
    <w:rsid w:val="006547EF"/>
    <w:rsid w:val="0065558F"/>
    <w:rsid w:val="006569B5"/>
    <w:rsid w:val="00660C57"/>
    <w:rsid w:val="0066524D"/>
    <w:rsid w:val="0066569F"/>
    <w:rsid w:val="00665757"/>
    <w:rsid w:val="00671C35"/>
    <w:rsid w:val="00672236"/>
    <w:rsid w:val="00675987"/>
    <w:rsid w:val="00682122"/>
    <w:rsid w:val="00682C36"/>
    <w:rsid w:val="00684DB2"/>
    <w:rsid w:val="00691FAE"/>
    <w:rsid w:val="006922BC"/>
    <w:rsid w:val="00694F20"/>
    <w:rsid w:val="0069599F"/>
    <w:rsid w:val="00697411"/>
    <w:rsid w:val="006A5804"/>
    <w:rsid w:val="006A6BB7"/>
    <w:rsid w:val="006B39DA"/>
    <w:rsid w:val="006B443E"/>
    <w:rsid w:val="006B4562"/>
    <w:rsid w:val="006C0A2C"/>
    <w:rsid w:val="006C35D2"/>
    <w:rsid w:val="006C3A1F"/>
    <w:rsid w:val="006C4C63"/>
    <w:rsid w:val="006C568B"/>
    <w:rsid w:val="006C5CCD"/>
    <w:rsid w:val="006D2A09"/>
    <w:rsid w:val="006E02FE"/>
    <w:rsid w:val="006E17F8"/>
    <w:rsid w:val="006E53BF"/>
    <w:rsid w:val="006E5BC0"/>
    <w:rsid w:val="006F1867"/>
    <w:rsid w:val="006F1FB2"/>
    <w:rsid w:val="006F2535"/>
    <w:rsid w:val="006F4270"/>
    <w:rsid w:val="006F4766"/>
    <w:rsid w:val="006F5A77"/>
    <w:rsid w:val="006F5BA9"/>
    <w:rsid w:val="0070004F"/>
    <w:rsid w:val="00707179"/>
    <w:rsid w:val="00710FFD"/>
    <w:rsid w:val="0071130C"/>
    <w:rsid w:val="0071147E"/>
    <w:rsid w:val="00716B34"/>
    <w:rsid w:val="00716C1F"/>
    <w:rsid w:val="007201A6"/>
    <w:rsid w:val="007206F3"/>
    <w:rsid w:val="00721002"/>
    <w:rsid w:val="00723571"/>
    <w:rsid w:val="007236EC"/>
    <w:rsid w:val="00732F5E"/>
    <w:rsid w:val="00737E16"/>
    <w:rsid w:val="00744FBA"/>
    <w:rsid w:val="007472DC"/>
    <w:rsid w:val="007506E3"/>
    <w:rsid w:val="007507FA"/>
    <w:rsid w:val="00751298"/>
    <w:rsid w:val="00752D9C"/>
    <w:rsid w:val="007549E0"/>
    <w:rsid w:val="0076063D"/>
    <w:rsid w:val="00760B07"/>
    <w:rsid w:val="007650CF"/>
    <w:rsid w:val="007671A1"/>
    <w:rsid w:val="0077003F"/>
    <w:rsid w:val="00773130"/>
    <w:rsid w:val="007760BB"/>
    <w:rsid w:val="00781451"/>
    <w:rsid w:val="00786CCE"/>
    <w:rsid w:val="00793145"/>
    <w:rsid w:val="00795ED0"/>
    <w:rsid w:val="00796AAC"/>
    <w:rsid w:val="007A0A74"/>
    <w:rsid w:val="007A1EFF"/>
    <w:rsid w:val="007A3121"/>
    <w:rsid w:val="007A3844"/>
    <w:rsid w:val="007A467D"/>
    <w:rsid w:val="007A4B02"/>
    <w:rsid w:val="007A5D07"/>
    <w:rsid w:val="007B04DD"/>
    <w:rsid w:val="007B1412"/>
    <w:rsid w:val="007B14E3"/>
    <w:rsid w:val="007B1AAC"/>
    <w:rsid w:val="007B3094"/>
    <w:rsid w:val="007B684D"/>
    <w:rsid w:val="007B7EB0"/>
    <w:rsid w:val="007C0BDF"/>
    <w:rsid w:val="007C0D45"/>
    <w:rsid w:val="007C0EE7"/>
    <w:rsid w:val="007C24FD"/>
    <w:rsid w:val="007C2964"/>
    <w:rsid w:val="007D0463"/>
    <w:rsid w:val="007D4389"/>
    <w:rsid w:val="007E3960"/>
    <w:rsid w:val="007E4207"/>
    <w:rsid w:val="007E4D9A"/>
    <w:rsid w:val="007E59C8"/>
    <w:rsid w:val="007F2848"/>
    <w:rsid w:val="007F2E0D"/>
    <w:rsid w:val="007F32A7"/>
    <w:rsid w:val="007F4C08"/>
    <w:rsid w:val="007F581A"/>
    <w:rsid w:val="008013A1"/>
    <w:rsid w:val="008029B5"/>
    <w:rsid w:val="008033EC"/>
    <w:rsid w:val="0080469C"/>
    <w:rsid w:val="00804C2C"/>
    <w:rsid w:val="008051EA"/>
    <w:rsid w:val="00805274"/>
    <w:rsid w:val="0080776F"/>
    <w:rsid w:val="008124AC"/>
    <w:rsid w:val="00812B78"/>
    <w:rsid w:val="008149E9"/>
    <w:rsid w:val="00816BC1"/>
    <w:rsid w:val="00820C46"/>
    <w:rsid w:val="00822346"/>
    <w:rsid w:val="00822D9E"/>
    <w:rsid w:val="0082540E"/>
    <w:rsid w:val="008268DE"/>
    <w:rsid w:val="008279D3"/>
    <w:rsid w:val="00834525"/>
    <w:rsid w:val="0084232A"/>
    <w:rsid w:val="00842BFA"/>
    <w:rsid w:val="008446D4"/>
    <w:rsid w:val="00845028"/>
    <w:rsid w:val="00846084"/>
    <w:rsid w:val="00846B9C"/>
    <w:rsid w:val="00847CD5"/>
    <w:rsid w:val="0085140F"/>
    <w:rsid w:val="008514A5"/>
    <w:rsid w:val="008534CC"/>
    <w:rsid w:val="0085387E"/>
    <w:rsid w:val="008626C5"/>
    <w:rsid w:val="008627DF"/>
    <w:rsid w:val="00864B5A"/>
    <w:rsid w:val="00866DF8"/>
    <w:rsid w:val="0087157E"/>
    <w:rsid w:val="008715A9"/>
    <w:rsid w:val="008719EC"/>
    <w:rsid w:val="00874DF7"/>
    <w:rsid w:val="00876CEA"/>
    <w:rsid w:val="0088407D"/>
    <w:rsid w:val="00885A60"/>
    <w:rsid w:val="00887FB8"/>
    <w:rsid w:val="00892508"/>
    <w:rsid w:val="00893F44"/>
    <w:rsid w:val="00894173"/>
    <w:rsid w:val="00894C2D"/>
    <w:rsid w:val="00897432"/>
    <w:rsid w:val="008A2295"/>
    <w:rsid w:val="008A5AE6"/>
    <w:rsid w:val="008A64DE"/>
    <w:rsid w:val="008A7039"/>
    <w:rsid w:val="008A754A"/>
    <w:rsid w:val="008A7642"/>
    <w:rsid w:val="008A7696"/>
    <w:rsid w:val="008B53F4"/>
    <w:rsid w:val="008B54FB"/>
    <w:rsid w:val="008B58FB"/>
    <w:rsid w:val="008B76FF"/>
    <w:rsid w:val="008C2FA4"/>
    <w:rsid w:val="008C748E"/>
    <w:rsid w:val="008D308C"/>
    <w:rsid w:val="008D5979"/>
    <w:rsid w:val="008D5E0D"/>
    <w:rsid w:val="008E16F3"/>
    <w:rsid w:val="008E399D"/>
    <w:rsid w:val="008E7528"/>
    <w:rsid w:val="008E7625"/>
    <w:rsid w:val="008F0240"/>
    <w:rsid w:val="008F0912"/>
    <w:rsid w:val="008F0F9D"/>
    <w:rsid w:val="008F2780"/>
    <w:rsid w:val="008F385E"/>
    <w:rsid w:val="008F40E8"/>
    <w:rsid w:val="008F5D97"/>
    <w:rsid w:val="008F7C11"/>
    <w:rsid w:val="009036CF"/>
    <w:rsid w:val="00903A48"/>
    <w:rsid w:val="00904E19"/>
    <w:rsid w:val="00910C12"/>
    <w:rsid w:val="009142CE"/>
    <w:rsid w:val="00915C48"/>
    <w:rsid w:val="00920A77"/>
    <w:rsid w:val="00920CA3"/>
    <w:rsid w:val="0092697C"/>
    <w:rsid w:val="0093185B"/>
    <w:rsid w:val="00933BE8"/>
    <w:rsid w:val="0093590B"/>
    <w:rsid w:val="00937D89"/>
    <w:rsid w:val="00942C17"/>
    <w:rsid w:val="00943B40"/>
    <w:rsid w:val="00943F6A"/>
    <w:rsid w:val="0094685B"/>
    <w:rsid w:val="00947BD0"/>
    <w:rsid w:val="009522D4"/>
    <w:rsid w:val="009531D4"/>
    <w:rsid w:val="009536B0"/>
    <w:rsid w:val="00953E22"/>
    <w:rsid w:val="00954694"/>
    <w:rsid w:val="00965BBC"/>
    <w:rsid w:val="00966552"/>
    <w:rsid w:val="0097100E"/>
    <w:rsid w:val="0097356A"/>
    <w:rsid w:val="00974591"/>
    <w:rsid w:val="009748AD"/>
    <w:rsid w:val="009755BD"/>
    <w:rsid w:val="009767B1"/>
    <w:rsid w:val="009767CB"/>
    <w:rsid w:val="00980075"/>
    <w:rsid w:val="00981D43"/>
    <w:rsid w:val="009855B0"/>
    <w:rsid w:val="0098762D"/>
    <w:rsid w:val="00992851"/>
    <w:rsid w:val="00992C8D"/>
    <w:rsid w:val="00994187"/>
    <w:rsid w:val="009962C8"/>
    <w:rsid w:val="00996F49"/>
    <w:rsid w:val="00997AFF"/>
    <w:rsid w:val="009A056D"/>
    <w:rsid w:val="009A0656"/>
    <w:rsid w:val="009A2F40"/>
    <w:rsid w:val="009A328C"/>
    <w:rsid w:val="009A370D"/>
    <w:rsid w:val="009A743B"/>
    <w:rsid w:val="009B36ED"/>
    <w:rsid w:val="009B3926"/>
    <w:rsid w:val="009B7D0D"/>
    <w:rsid w:val="009C2E9F"/>
    <w:rsid w:val="009C34C4"/>
    <w:rsid w:val="009C57ED"/>
    <w:rsid w:val="009C592B"/>
    <w:rsid w:val="009C7B57"/>
    <w:rsid w:val="009D11D8"/>
    <w:rsid w:val="009D1284"/>
    <w:rsid w:val="009D13A4"/>
    <w:rsid w:val="009D29E3"/>
    <w:rsid w:val="009D30E0"/>
    <w:rsid w:val="009D37E8"/>
    <w:rsid w:val="009D6D75"/>
    <w:rsid w:val="009E085D"/>
    <w:rsid w:val="009E0974"/>
    <w:rsid w:val="009E42B8"/>
    <w:rsid w:val="009E4EF9"/>
    <w:rsid w:val="009E7287"/>
    <w:rsid w:val="009F09C1"/>
    <w:rsid w:val="009F1B40"/>
    <w:rsid w:val="009F1EE7"/>
    <w:rsid w:val="009F2BF2"/>
    <w:rsid w:val="009F45D1"/>
    <w:rsid w:val="009F5151"/>
    <w:rsid w:val="009F58BB"/>
    <w:rsid w:val="009F6F04"/>
    <w:rsid w:val="00A021AC"/>
    <w:rsid w:val="00A021F2"/>
    <w:rsid w:val="00A02FD3"/>
    <w:rsid w:val="00A07501"/>
    <w:rsid w:val="00A1460C"/>
    <w:rsid w:val="00A149E0"/>
    <w:rsid w:val="00A246F8"/>
    <w:rsid w:val="00A254BF"/>
    <w:rsid w:val="00A27435"/>
    <w:rsid w:val="00A27A78"/>
    <w:rsid w:val="00A30667"/>
    <w:rsid w:val="00A318E9"/>
    <w:rsid w:val="00A31A7C"/>
    <w:rsid w:val="00A33BB6"/>
    <w:rsid w:val="00A362B8"/>
    <w:rsid w:val="00A3709D"/>
    <w:rsid w:val="00A401EF"/>
    <w:rsid w:val="00A425E9"/>
    <w:rsid w:val="00A465BD"/>
    <w:rsid w:val="00A46E53"/>
    <w:rsid w:val="00A51D97"/>
    <w:rsid w:val="00A53C11"/>
    <w:rsid w:val="00A543BD"/>
    <w:rsid w:val="00A550F2"/>
    <w:rsid w:val="00A5570D"/>
    <w:rsid w:val="00A620C6"/>
    <w:rsid w:val="00A6284F"/>
    <w:rsid w:val="00A63086"/>
    <w:rsid w:val="00A65800"/>
    <w:rsid w:val="00A7755A"/>
    <w:rsid w:val="00A810B0"/>
    <w:rsid w:val="00A84F0E"/>
    <w:rsid w:val="00A87F39"/>
    <w:rsid w:val="00A90CC4"/>
    <w:rsid w:val="00A90FBE"/>
    <w:rsid w:val="00A931F0"/>
    <w:rsid w:val="00A94A87"/>
    <w:rsid w:val="00A94D44"/>
    <w:rsid w:val="00A96387"/>
    <w:rsid w:val="00AA2C04"/>
    <w:rsid w:val="00AA3DBA"/>
    <w:rsid w:val="00AA576E"/>
    <w:rsid w:val="00AA59DA"/>
    <w:rsid w:val="00AA5F13"/>
    <w:rsid w:val="00AA6318"/>
    <w:rsid w:val="00AB1CAE"/>
    <w:rsid w:val="00AB7086"/>
    <w:rsid w:val="00AC2C6F"/>
    <w:rsid w:val="00AD1C41"/>
    <w:rsid w:val="00AD3A22"/>
    <w:rsid w:val="00AD4754"/>
    <w:rsid w:val="00ADE3AC"/>
    <w:rsid w:val="00AE1332"/>
    <w:rsid w:val="00B01F5A"/>
    <w:rsid w:val="00B0737F"/>
    <w:rsid w:val="00B073A7"/>
    <w:rsid w:val="00B10D1C"/>
    <w:rsid w:val="00B11DEC"/>
    <w:rsid w:val="00B14FAA"/>
    <w:rsid w:val="00B20C91"/>
    <w:rsid w:val="00B2184E"/>
    <w:rsid w:val="00B25F0C"/>
    <w:rsid w:val="00B26FDA"/>
    <w:rsid w:val="00B31869"/>
    <w:rsid w:val="00B32E88"/>
    <w:rsid w:val="00B33759"/>
    <w:rsid w:val="00B34C2C"/>
    <w:rsid w:val="00B41DC4"/>
    <w:rsid w:val="00B456AC"/>
    <w:rsid w:val="00B45DC0"/>
    <w:rsid w:val="00B45DF3"/>
    <w:rsid w:val="00B5114E"/>
    <w:rsid w:val="00B64409"/>
    <w:rsid w:val="00B64465"/>
    <w:rsid w:val="00B64493"/>
    <w:rsid w:val="00B64F9F"/>
    <w:rsid w:val="00B67C4E"/>
    <w:rsid w:val="00B7225F"/>
    <w:rsid w:val="00B73CF0"/>
    <w:rsid w:val="00B753B8"/>
    <w:rsid w:val="00B76288"/>
    <w:rsid w:val="00B82F62"/>
    <w:rsid w:val="00B84869"/>
    <w:rsid w:val="00B9174E"/>
    <w:rsid w:val="00B925F1"/>
    <w:rsid w:val="00B926AE"/>
    <w:rsid w:val="00B93B87"/>
    <w:rsid w:val="00B94C24"/>
    <w:rsid w:val="00B94EFE"/>
    <w:rsid w:val="00B97749"/>
    <w:rsid w:val="00BA1B30"/>
    <w:rsid w:val="00BA5F69"/>
    <w:rsid w:val="00BB25C6"/>
    <w:rsid w:val="00BB3D66"/>
    <w:rsid w:val="00BB5110"/>
    <w:rsid w:val="00BB72DC"/>
    <w:rsid w:val="00BC12B3"/>
    <w:rsid w:val="00BC376F"/>
    <w:rsid w:val="00BC6C0E"/>
    <w:rsid w:val="00BC723A"/>
    <w:rsid w:val="00BD3D9F"/>
    <w:rsid w:val="00BD53FC"/>
    <w:rsid w:val="00BE0F69"/>
    <w:rsid w:val="00BE23F0"/>
    <w:rsid w:val="00BE34AC"/>
    <w:rsid w:val="00BE47BD"/>
    <w:rsid w:val="00BE570A"/>
    <w:rsid w:val="00BE7CF7"/>
    <w:rsid w:val="00BE7D56"/>
    <w:rsid w:val="00BF05CD"/>
    <w:rsid w:val="00BF11BA"/>
    <w:rsid w:val="00BF4E30"/>
    <w:rsid w:val="00BF5574"/>
    <w:rsid w:val="00C03272"/>
    <w:rsid w:val="00C06792"/>
    <w:rsid w:val="00C07127"/>
    <w:rsid w:val="00C07FC9"/>
    <w:rsid w:val="00C110F3"/>
    <w:rsid w:val="00C16C49"/>
    <w:rsid w:val="00C20AB7"/>
    <w:rsid w:val="00C221AD"/>
    <w:rsid w:val="00C22A45"/>
    <w:rsid w:val="00C27A16"/>
    <w:rsid w:val="00C30947"/>
    <w:rsid w:val="00C41EC0"/>
    <w:rsid w:val="00C43050"/>
    <w:rsid w:val="00C44940"/>
    <w:rsid w:val="00C46323"/>
    <w:rsid w:val="00C52920"/>
    <w:rsid w:val="00C53DD9"/>
    <w:rsid w:val="00C547BC"/>
    <w:rsid w:val="00C555C6"/>
    <w:rsid w:val="00C56960"/>
    <w:rsid w:val="00C56BFA"/>
    <w:rsid w:val="00C64683"/>
    <w:rsid w:val="00C659DA"/>
    <w:rsid w:val="00C66973"/>
    <w:rsid w:val="00C676BA"/>
    <w:rsid w:val="00C76BD8"/>
    <w:rsid w:val="00C76CAC"/>
    <w:rsid w:val="00C7744E"/>
    <w:rsid w:val="00C77491"/>
    <w:rsid w:val="00C7757A"/>
    <w:rsid w:val="00C77832"/>
    <w:rsid w:val="00C836E5"/>
    <w:rsid w:val="00C83E17"/>
    <w:rsid w:val="00C85BA4"/>
    <w:rsid w:val="00C86538"/>
    <w:rsid w:val="00C86BF8"/>
    <w:rsid w:val="00C9232A"/>
    <w:rsid w:val="00C96072"/>
    <w:rsid w:val="00C97258"/>
    <w:rsid w:val="00CA2983"/>
    <w:rsid w:val="00CA5E4C"/>
    <w:rsid w:val="00CA7307"/>
    <w:rsid w:val="00CB0680"/>
    <w:rsid w:val="00CB0C61"/>
    <w:rsid w:val="00CB3E86"/>
    <w:rsid w:val="00CB54A2"/>
    <w:rsid w:val="00CC2101"/>
    <w:rsid w:val="00CC2E53"/>
    <w:rsid w:val="00CC4FC3"/>
    <w:rsid w:val="00CC53D0"/>
    <w:rsid w:val="00CC566B"/>
    <w:rsid w:val="00CD0E27"/>
    <w:rsid w:val="00CD1E37"/>
    <w:rsid w:val="00CD208F"/>
    <w:rsid w:val="00CD400E"/>
    <w:rsid w:val="00CD42A8"/>
    <w:rsid w:val="00CD4C3A"/>
    <w:rsid w:val="00CD78A8"/>
    <w:rsid w:val="00CE06F9"/>
    <w:rsid w:val="00CE14D9"/>
    <w:rsid w:val="00CE2BB7"/>
    <w:rsid w:val="00CE3C48"/>
    <w:rsid w:val="00CE5506"/>
    <w:rsid w:val="00CF1B40"/>
    <w:rsid w:val="00CF66F0"/>
    <w:rsid w:val="00CF7B9B"/>
    <w:rsid w:val="00CF7EC4"/>
    <w:rsid w:val="00D02F6B"/>
    <w:rsid w:val="00D0385E"/>
    <w:rsid w:val="00D04F0C"/>
    <w:rsid w:val="00D07CA1"/>
    <w:rsid w:val="00D10AA9"/>
    <w:rsid w:val="00D15EE5"/>
    <w:rsid w:val="00D162F4"/>
    <w:rsid w:val="00D166D3"/>
    <w:rsid w:val="00D17A4A"/>
    <w:rsid w:val="00D2389B"/>
    <w:rsid w:val="00D23C8A"/>
    <w:rsid w:val="00D2595B"/>
    <w:rsid w:val="00D31257"/>
    <w:rsid w:val="00D3600C"/>
    <w:rsid w:val="00D4040E"/>
    <w:rsid w:val="00D40E5F"/>
    <w:rsid w:val="00D419AE"/>
    <w:rsid w:val="00D41E28"/>
    <w:rsid w:val="00D44564"/>
    <w:rsid w:val="00D50FE5"/>
    <w:rsid w:val="00D52F6F"/>
    <w:rsid w:val="00D553B5"/>
    <w:rsid w:val="00D60D73"/>
    <w:rsid w:val="00D614CC"/>
    <w:rsid w:val="00D61E97"/>
    <w:rsid w:val="00D70882"/>
    <w:rsid w:val="00D71386"/>
    <w:rsid w:val="00D76CAC"/>
    <w:rsid w:val="00D77C03"/>
    <w:rsid w:val="00D80310"/>
    <w:rsid w:val="00D80982"/>
    <w:rsid w:val="00D82DB4"/>
    <w:rsid w:val="00D8431B"/>
    <w:rsid w:val="00D85773"/>
    <w:rsid w:val="00D86B04"/>
    <w:rsid w:val="00D90D1E"/>
    <w:rsid w:val="00DA1AB0"/>
    <w:rsid w:val="00DA2D86"/>
    <w:rsid w:val="00DA7DF9"/>
    <w:rsid w:val="00DB2400"/>
    <w:rsid w:val="00DB25CB"/>
    <w:rsid w:val="00DC3F5C"/>
    <w:rsid w:val="00DC6AB4"/>
    <w:rsid w:val="00DC6F30"/>
    <w:rsid w:val="00DD1451"/>
    <w:rsid w:val="00DD1687"/>
    <w:rsid w:val="00DD2544"/>
    <w:rsid w:val="00DE08D0"/>
    <w:rsid w:val="00DE0DBB"/>
    <w:rsid w:val="00DE343E"/>
    <w:rsid w:val="00DE49EE"/>
    <w:rsid w:val="00DE50DA"/>
    <w:rsid w:val="00DE61D3"/>
    <w:rsid w:val="00DE66FB"/>
    <w:rsid w:val="00DF0815"/>
    <w:rsid w:val="00DF2402"/>
    <w:rsid w:val="00DF3276"/>
    <w:rsid w:val="00DF5C83"/>
    <w:rsid w:val="00E02CDA"/>
    <w:rsid w:val="00E06658"/>
    <w:rsid w:val="00E10C90"/>
    <w:rsid w:val="00E11853"/>
    <w:rsid w:val="00E1270B"/>
    <w:rsid w:val="00E1336C"/>
    <w:rsid w:val="00E1723F"/>
    <w:rsid w:val="00E2205B"/>
    <w:rsid w:val="00E22375"/>
    <w:rsid w:val="00E24193"/>
    <w:rsid w:val="00E2420A"/>
    <w:rsid w:val="00E24C54"/>
    <w:rsid w:val="00E25D71"/>
    <w:rsid w:val="00E25F36"/>
    <w:rsid w:val="00E30F6F"/>
    <w:rsid w:val="00E35138"/>
    <w:rsid w:val="00E36D5C"/>
    <w:rsid w:val="00E3757A"/>
    <w:rsid w:val="00E3774A"/>
    <w:rsid w:val="00E44260"/>
    <w:rsid w:val="00E44833"/>
    <w:rsid w:val="00E46709"/>
    <w:rsid w:val="00E56AB0"/>
    <w:rsid w:val="00E573C7"/>
    <w:rsid w:val="00E62002"/>
    <w:rsid w:val="00E62F7E"/>
    <w:rsid w:val="00E71665"/>
    <w:rsid w:val="00E71932"/>
    <w:rsid w:val="00E7241F"/>
    <w:rsid w:val="00E731F0"/>
    <w:rsid w:val="00E75914"/>
    <w:rsid w:val="00E76942"/>
    <w:rsid w:val="00E81631"/>
    <w:rsid w:val="00E81814"/>
    <w:rsid w:val="00E84034"/>
    <w:rsid w:val="00E8573C"/>
    <w:rsid w:val="00E85B91"/>
    <w:rsid w:val="00E86496"/>
    <w:rsid w:val="00E87391"/>
    <w:rsid w:val="00E91DA4"/>
    <w:rsid w:val="00E93FF3"/>
    <w:rsid w:val="00E94E72"/>
    <w:rsid w:val="00E9661D"/>
    <w:rsid w:val="00E96F5A"/>
    <w:rsid w:val="00EA09ED"/>
    <w:rsid w:val="00EA1C29"/>
    <w:rsid w:val="00EA2861"/>
    <w:rsid w:val="00EA49E3"/>
    <w:rsid w:val="00EA7333"/>
    <w:rsid w:val="00EB0793"/>
    <w:rsid w:val="00EB0EDB"/>
    <w:rsid w:val="00EB694E"/>
    <w:rsid w:val="00EB6B71"/>
    <w:rsid w:val="00EC02BF"/>
    <w:rsid w:val="00EC20E0"/>
    <w:rsid w:val="00EC4048"/>
    <w:rsid w:val="00EC7039"/>
    <w:rsid w:val="00EC77D6"/>
    <w:rsid w:val="00ED0348"/>
    <w:rsid w:val="00ED23DD"/>
    <w:rsid w:val="00ED2FF4"/>
    <w:rsid w:val="00ED30C5"/>
    <w:rsid w:val="00ED567C"/>
    <w:rsid w:val="00EE14A6"/>
    <w:rsid w:val="00EE3A63"/>
    <w:rsid w:val="00EE4913"/>
    <w:rsid w:val="00EE4923"/>
    <w:rsid w:val="00EE7727"/>
    <w:rsid w:val="00EF01C1"/>
    <w:rsid w:val="00EF1BCD"/>
    <w:rsid w:val="00EF6B53"/>
    <w:rsid w:val="00F04290"/>
    <w:rsid w:val="00F05A8A"/>
    <w:rsid w:val="00F13733"/>
    <w:rsid w:val="00F15084"/>
    <w:rsid w:val="00F157CD"/>
    <w:rsid w:val="00F178BB"/>
    <w:rsid w:val="00F17FFD"/>
    <w:rsid w:val="00F21721"/>
    <w:rsid w:val="00F261DD"/>
    <w:rsid w:val="00F27663"/>
    <w:rsid w:val="00F31AED"/>
    <w:rsid w:val="00F31E56"/>
    <w:rsid w:val="00F36305"/>
    <w:rsid w:val="00F423A6"/>
    <w:rsid w:val="00F42AA7"/>
    <w:rsid w:val="00F5277D"/>
    <w:rsid w:val="00F55B39"/>
    <w:rsid w:val="00F60D0E"/>
    <w:rsid w:val="00F7111B"/>
    <w:rsid w:val="00F8048C"/>
    <w:rsid w:val="00F87539"/>
    <w:rsid w:val="00F87890"/>
    <w:rsid w:val="00F945CD"/>
    <w:rsid w:val="00F962C8"/>
    <w:rsid w:val="00FA0C93"/>
    <w:rsid w:val="00FA3F5F"/>
    <w:rsid w:val="00FB02CB"/>
    <w:rsid w:val="00FB0F1C"/>
    <w:rsid w:val="00FB3499"/>
    <w:rsid w:val="00FB3582"/>
    <w:rsid w:val="00FB3D93"/>
    <w:rsid w:val="00FB4EBF"/>
    <w:rsid w:val="00FB5205"/>
    <w:rsid w:val="00FC7A29"/>
    <w:rsid w:val="00FD0D31"/>
    <w:rsid w:val="00FD30FB"/>
    <w:rsid w:val="00FD3306"/>
    <w:rsid w:val="00FD3ACC"/>
    <w:rsid w:val="00FD3CD8"/>
    <w:rsid w:val="00FD7D7C"/>
    <w:rsid w:val="00FD9AAE"/>
    <w:rsid w:val="00FE069A"/>
    <w:rsid w:val="00FE25ED"/>
    <w:rsid w:val="00FE2A62"/>
    <w:rsid w:val="00FE2D87"/>
    <w:rsid w:val="00FE6A89"/>
    <w:rsid w:val="00FE767A"/>
    <w:rsid w:val="00FF057C"/>
    <w:rsid w:val="00FF0E06"/>
    <w:rsid w:val="00FF226C"/>
    <w:rsid w:val="00FF473C"/>
    <w:rsid w:val="010693BA"/>
    <w:rsid w:val="01AE610B"/>
    <w:rsid w:val="02BCAB1E"/>
    <w:rsid w:val="036EE75B"/>
    <w:rsid w:val="0397BDE7"/>
    <w:rsid w:val="03D921A7"/>
    <w:rsid w:val="04960270"/>
    <w:rsid w:val="0498E486"/>
    <w:rsid w:val="04B5FA1A"/>
    <w:rsid w:val="0545214A"/>
    <w:rsid w:val="0574DAD4"/>
    <w:rsid w:val="05AB1488"/>
    <w:rsid w:val="05EDD86B"/>
    <w:rsid w:val="06040986"/>
    <w:rsid w:val="060B76A4"/>
    <w:rsid w:val="06BB3F04"/>
    <w:rsid w:val="06C60F8D"/>
    <w:rsid w:val="070C40D2"/>
    <w:rsid w:val="07D1D13B"/>
    <w:rsid w:val="0872FA30"/>
    <w:rsid w:val="08B701FF"/>
    <w:rsid w:val="08CA10AC"/>
    <w:rsid w:val="09404C1A"/>
    <w:rsid w:val="098B56CB"/>
    <w:rsid w:val="0A3993E3"/>
    <w:rsid w:val="0A9A3B3A"/>
    <w:rsid w:val="0AB4E795"/>
    <w:rsid w:val="0B60CDC1"/>
    <w:rsid w:val="0C1C9003"/>
    <w:rsid w:val="0C392CAC"/>
    <w:rsid w:val="0C708D2D"/>
    <w:rsid w:val="0CC3A1BB"/>
    <w:rsid w:val="0D283E85"/>
    <w:rsid w:val="0D471A27"/>
    <w:rsid w:val="0D6BCA61"/>
    <w:rsid w:val="0E236F77"/>
    <w:rsid w:val="0E532AEB"/>
    <w:rsid w:val="0EB8425E"/>
    <w:rsid w:val="0EEBB870"/>
    <w:rsid w:val="0F918105"/>
    <w:rsid w:val="0FA89FBB"/>
    <w:rsid w:val="0FC043DC"/>
    <w:rsid w:val="109E2E32"/>
    <w:rsid w:val="10AE2809"/>
    <w:rsid w:val="113BF0C6"/>
    <w:rsid w:val="11B66F48"/>
    <w:rsid w:val="1218492D"/>
    <w:rsid w:val="135CEDE7"/>
    <w:rsid w:val="135E2BAE"/>
    <w:rsid w:val="13838158"/>
    <w:rsid w:val="13C2A787"/>
    <w:rsid w:val="14585ED4"/>
    <w:rsid w:val="147F15E9"/>
    <w:rsid w:val="14A700DE"/>
    <w:rsid w:val="1506C276"/>
    <w:rsid w:val="1510C1CF"/>
    <w:rsid w:val="15212CD0"/>
    <w:rsid w:val="15A6D4D7"/>
    <w:rsid w:val="15B02FF7"/>
    <w:rsid w:val="15D41F9F"/>
    <w:rsid w:val="15DB0796"/>
    <w:rsid w:val="15F60CB8"/>
    <w:rsid w:val="166EE91B"/>
    <w:rsid w:val="16A13F7C"/>
    <w:rsid w:val="16BCFD31"/>
    <w:rsid w:val="16F0EF5E"/>
    <w:rsid w:val="1712CB1F"/>
    <w:rsid w:val="176D5CCC"/>
    <w:rsid w:val="17A9F7D3"/>
    <w:rsid w:val="18204408"/>
    <w:rsid w:val="184E46B9"/>
    <w:rsid w:val="18B0F7F4"/>
    <w:rsid w:val="1958234B"/>
    <w:rsid w:val="19718CDB"/>
    <w:rsid w:val="19EDF309"/>
    <w:rsid w:val="1A4D0DD9"/>
    <w:rsid w:val="1A4E23E7"/>
    <w:rsid w:val="1A78F64D"/>
    <w:rsid w:val="1A9B4129"/>
    <w:rsid w:val="1ACE8315"/>
    <w:rsid w:val="1AF2671D"/>
    <w:rsid w:val="1B39C40B"/>
    <w:rsid w:val="1B544500"/>
    <w:rsid w:val="1C2FB7A2"/>
    <w:rsid w:val="1D3EC04C"/>
    <w:rsid w:val="1D82733C"/>
    <w:rsid w:val="1DD13E50"/>
    <w:rsid w:val="1DE7790D"/>
    <w:rsid w:val="1E83D9FC"/>
    <w:rsid w:val="1E92CF8D"/>
    <w:rsid w:val="1F715B7A"/>
    <w:rsid w:val="1FE8D0EF"/>
    <w:rsid w:val="20674A03"/>
    <w:rsid w:val="20C77C4F"/>
    <w:rsid w:val="20DA8865"/>
    <w:rsid w:val="20EA53F8"/>
    <w:rsid w:val="2156ED92"/>
    <w:rsid w:val="21A49F1F"/>
    <w:rsid w:val="2296885E"/>
    <w:rsid w:val="22D6B401"/>
    <w:rsid w:val="23103781"/>
    <w:rsid w:val="23BED21A"/>
    <w:rsid w:val="24704804"/>
    <w:rsid w:val="2548BC86"/>
    <w:rsid w:val="2597CA18"/>
    <w:rsid w:val="25AD8178"/>
    <w:rsid w:val="25B463AF"/>
    <w:rsid w:val="25C17703"/>
    <w:rsid w:val="26261371"/>
    <w:rsid w:val="263658A4"/>
    <w:rsid w:val="26444F5A"/>
    <w:rsid w:val="26C80276"/>
    <w:rsid w:val="27201FE3"/>
    <w:rsid w:val="2781FFE7"/>
    <w:rsid w:val="27F7CC43"/>
    <w:rsid w:val="2906D551"/>
    <w:rsid w:val="293AFFFA"/>
    <w:rsid w:val="29D5A382"/>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DD842A"/>
    <w:rsid w:val="2CE78D36"/>
    <w:rsid w:val="2D0220B9"/>
    <w:rsid w:val="2D951B90"/>
    <w:rsid w:val="2E54366C"/>
    <w:rsid w:val="2F0D7067"/>
    <w:rsid w:val="2F62D756"/>
    <w:rsid w:val="2FA2BE8F"/>
    <w:rsid w:val="2FC0AF83"/>
    <w:rsid w:val="2FF358CD"/>
    <w:rsid w:val="30052AA9"/>
    <w:rsid w:val="30CFD461"/>
    <w:rsid w:val="31F392C1"/>
    <w:rsid w:val="325E1513"/>
    <w:rsid w:val="32A74EA7"/>
    <w:rsid w:val="32ADD553"/>
    <w:rsid w:val="32CA0339"/>
    <w:rsid w:val="33165887"/>
    <w:rsid w:val="33165E8E"/>
    <w:rsid w:val="33E7B24F"/>
    <w:rsid w:val="33EEC2AB"/>
    <w:rsid w:val="342C4008"/>
    <w:rsid w:val="34459F50"/>
    <w:rsid w:val="34C38781"/>
    <w:rsid w:val="3507B920"/>
    <w:rsid w:val="352E14C0"/>
    <w:rsid w:val="353B1E95"/>
    <w:rsid w:val="3565AEFA"/>
    <w:rsid w:val="3574648B"/>
    <w:rsid w:val="358EF9FE"/>
    <w:rsid w:val="35CB2785"/>
    <w:rsid w:val="35FE9614"/>
    <w:rsid w:val="366B282C"/>
    <w:rsid w:val="369702DA"/>
    <w:rsid w:val="36992A21"/>
    <w:rsid w:val="371560C4"/>
    <w:rsid w:val="37570CA0"/>
    <w:rsid w:val="3766B951"/>
    <w:rsid w:val="37BA7A9E"/>
    <w:rsid w:val="37E45D05"/>
    <w:rsid w:val="37E725FD"/>
    <w:rsid w:val="37FF05D1"/>
    <w:rsid w:val="38783C75"/>
    <w:rsid w:val="396B9909"/>
    <w:rsid w:val="399C7D15"/>
    <w:rsid w:val="39AA7A3A"/>
    <w:rsid w:val="39ACD0E2"/>
    <w:rsid w:val="3A15B77E"/>
    <w:rsid w:val="3A46DD60"/>
    <w:rsid w:val="3B417239"/>
    <w:rsid w:val="3B47EB9A"/>
    <w:rsid w:val="3B6216D7"/>
    <w:rsid w:val="3BAEC6D7"/>
    <w:rsid w:val="3BAF0E97"/>
    <w:rsid w:val="3BE282A1"/>
    <w:rsid w:val="3BE871E5"/>
    <w:rsid w:val="3BFB7545"/>
    <w:rsid w:val="3C9D2B53"/>
    <w:rsid w:val="3CB7D127"/>
    <w:rsid w:val="3CB96F64"/>
    <w:rsid w:val="3DD70D11"/>
    <w:rsid w:val="3E0E02A3"/>
    <w:rsid w:val="3E2CA72B"/>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23E3459"/>
    <w:rsid w:val="424D691E"/>
    <w:rsid w:val="425415B9"/>
    <w:rsid w:val="426D1782"/>
    <w:rsid w:val="42A4CBEF"/>
    <w:rsid w:val="42FFE5B1"/>
    <w:rsid w:val="43146733"/>
    <w:rsid w:val="435ECA72"/>
    <w:rsid w:val="4395FF6E"/>
    <w:rsid w:val="43B42A82"/>
    <w:rsid w:val="43CD2BE7"/>
    <w:rsid w:val="43D987C4"/>
    <w:rsid w:val="44276564"/>
    <w:rsid w:val="445CC1C0"/>
    <w:rsid w:val="4646204A"/>
    <w:rsid w:val="46B0101F"/>
    <w:rsid w:val="47607C4E"/>
    <w:rsid w:val="47E1F0AB"/>
    <w:rsid w:val="48362CC6"/>
    <w:rsid w:val="486C6786"/>
    <w:rsid w:val="487FB541"/>
    <w:rsid w:val="48B0E701"/>
    <w:rsid w:val="48C40068"/>
    <w:rsid w:val="48E7F895"/>
    <w:rsid w:val="49BE0DA9"/>
    <w:rsid w:val="4A97BBD3"/>
    <w:rsid w:val="4B0F0BDC"/>
    <w:rsid w:val="4B21B0F4"/>
    <w:rsid w:val="4B331D91"/>
    <w:rsid w:val="4B5AD97B"/>
    <w:rsid w:val="4BC81499"/>
    <w:rsid w:val="4D017F36"/>
    <w:rsid w:val="4D260B6A"/>
    <w:rsid w:val="4D3071C9"/>
    <w:rsid w:val="4DD23AB9"/>
    <w:rsid w:val="4E3F6715"/>
    <w:rsid w:val="4E42A8F7"/>
    <w:rsid w:val="4E6790BC"/>
    <w:rsid w:val="4E6C3976"/>
    <w:rsid w:val="4E9F2264"/>
    <w:rsid w:val="4EE42C09"/>
    <w:rsid w:val="4EF9D56F"/>
    <w:rsid w:val="4F39A163"/>
    <w:rsid w:val="4F74AA21"/>
    <w:rsid w:val="4F825A5C"/>
    <w:rsid w:val="50120E26"/>
    <w:rsid w:val="50805692"/>
    <w:rsid w:val="51987A31"/>
    <w:rsid w:val="51BAEAEA"/>
    <w:rsid w:val="51C0E527"/>
    <w:rsid w:val="51F56FC2"/>
    <w:rsid w:val="5207FD54"/>
    <w:rsid w:val="520A56FB"/>
    <w:rsid w:val="53490834"/>
    <w:rsid w:val="538C2EB6"/>
    <w:rsid w:val="53CACF49"/>
    <w:rsid w:val="53DFE57B"/>
    <w:rsid w:val="54A6A9DF"/>
    <w:rsid w:val="555418B1"/>
    <w:rsid w:val="556D794F"/>
    <w:rsid w:val="55F3DF2E"/>
    <w:rsid w:val="560AC8DD"/>
    <w:rsid w:val="56417CB1"/>
    <w:rsid w:val="564BEFD8"/>
    <w:rsid w:val="564D69F9"/>
    <w:rsid w:val="56624E57"/>
    <w:rsid w:val="56CAEEBC"/>
    <w:rsid w:val="577F4A3E"/>
    <w:rsid w:val="57B72777"/>
    <w:rsid w:val="581D1B87"/>
    <w:rsid w:val="582F445F"/>
    <w:rsid w:val="5988C694"/>
    <w:rsid w:val="59D275B7"/>
    <w:rsid w:val="59F7FBAA"/>
    <w:rsid w:val="5A253524"/>
    <w:rsid w:val="5B87C503"/>
    <w:rsid w:val="5BD23178"/>
    <w:rsid w:val="5C2D0F8B"/>
    <w:rsid w:val="5C39C204"/>
    <w:rsid w:val="5C3EC5EB"/>
    <w:rsid w:val="5C4A8E5F"/>
    <w:rsid w:val="5C57D90A"/>
    <w:rsid w:val="5C73928F"/>
    <w:rsid w:val="5CC7098C"/>
    <w:rsid w:val="5D6F4356"/>
    <w:rsid w:val="5D832396"/>
    <w:rsid w:val="5E4DB9F8"/>
    <w:rsid w:val="5E7A03FA"/>
    <w:rsid w:val="5EA3AFF1"/>
    <w:rsid w:val="5ED67FCB"/>
    <w:rsid w:val="5F0F3FA5"/>
    <w:rsid w:val="5F32763D"/>
    <w:rsid w:val="5F3DEFCB"/>
    <w:rsid w:val="5F61374C"/>
    <w:rsid w:val="5F96C1C2"/>
    <w:rsid w:val="6019FF45"/>
    <w:rsid w:val="606EC5B0"/>
    <w:rsid w:val="6096876E"/>
    <w:rsid w:val="60E71F82"/>
    <w:rsid w:val="612EC463"/>
    <w:rsid w:val="6279EE24"/>
    <w:rsid w:val="62EDA6FC"/>
    <w:rsid w:val="636A37AD"/>
    <w:rsid w:val="63F4EE4C"/>
    <w:rsid w:val="64615902"/>
    <w:rsid w:val="649B0FC7"/>
    <w:rsid w:val="6568F500"/>
    <w:rsid w:val="65D36A5D"/>
    <w:rsid w:val="663C62B8"/>
    <w:rsid w:val="668181D5"/>
    <w:rsid w:val="66A0AC26"/>
    <w:rsid w:val="66A463B8"/>
    <w:rsid w:val="674756A6"/>
    <w:rsid w:val="677AE757"/>
    <w:rsid w:val="678A3054"/>
    <w:rsid w:val="67D057C2"/>
    <w:rsid w:val="67E96A7C"/>
    <w:rsid w:val="67F54BA7"/>
    <w:rsid w:val="68221F36"/>
    <w:rsid w:val="68328033"/>
    <w:rsid w:val="686355E3"/>
    <w:rsid w:val="6894ED47"/>
    <w:rsid w:val="68EEC344"/>
    <w:rsid w:val="68EEE324"/>
    <w:rsid w:val="69089896"/>
    <w:rsid w:val="6908E40B"/>
    <w:rsid w:val="6937D5AF"/>
    <w:rsid w:val="693B9408"/>
    <w:rsid w:val="69DA620B"/>
    <w:rsid w:val="69E6A218"/>
    <w:rsid w:val="69F99760"/>
    <w:rsid w:val="6A3CF1F0"/>
    <w:rsid w:val="6AB889A3"/>
    <w:rsid w:val="6B0F7B73"/>
    <w:rsid w:val="6B0FD81F"/>
    <w:rsid w:val="6B4436F4"/>
    <w:rsid w:val="6BA18803"/>
    <w:rsid w:val="6BCB21E6"/>
    <w:rsid w:val="6C0C798B"/>
    <w:rsid w:val="6C721CE3"/>
    <w:rsid w:val="6D67B098"/>
    <w:rsid w:val="6D800725"/>
    <w:rsid w:val="6D97329C"/>
    <w:rsid w:val="6EF18013"/>
    <w:rsid w:val="6F3B053C"/>
    <w:rsid w:val="6F4457F7"/>
    <w:rsid w:val="6F49E956"/>
    <w:rsid w:val="6FB3B9F9"/>
    <w:rsid w:val="6FE49499"/>
    <w:rsid w:val="70346F77"/>
    <w:rsid w:val="704FB6B0"/>
    <w:rsid w:val="70953313"/>
    <w:rsid w:val="70C23008"/>
    <w:rsid w:val="70DDB971"/>
    <w:rsid w:val="70FDAD72"/>
    <w:rsid w:val="720A15C6"/>
    <w:rsid w:val="730C1906"/>
    <w:rsid w:val="733A09B4"/>
    <w:rsid w:val="73497CF9"/>
    <w:rsid w:val="73ECB5AB"/>
    <w:rsid w:val="7421609E"/>
    <w:rsid w:val="7465AB46"/>
    <w:rsid w:val="747E46BE"/>
    <w:rsid w:val="749610D1"/>
    <w:rsid w:val="74ABB9C4"/>
    <w:rsid w:val="7542FC32"/>
    <w:rsid w:val="75A2FB32"/>
    <w:rsid w:val="75BE8CFB"/>
    <w:rsid w:val="75D38864"/>
    <w:rsid w:val="761934F8"/>
    <w:rsid w:val="76610B38"/>
    <w:rsid w:val="76954DD2"/>
    <w:rsid w:val="76A339B5"/>
    <w:rsid w:val="76BF77AD"/>
    <w:rsid w:val="77E19490"/>
    <w:rsid w:val="77EEB5A7"/>
    <w:rsid w:val="78A9C330"/>
    <w:rsid w:val="79065A2F"/>
    <w:rsid w:val="79068A2F"/>
    <w:rsid w:val="7944986D"/>
    <w:rsid w:val="7A49949E"/>
    <w:rsid w:val="7AB4224C"/>
    <w:rsid w:val="7AB46D2A"/>
    <w:rsid w:val="7ABE5F9E"/>
    <w:rsid w:val="7AEB807C"/>
    <w:rsid w:val="7B6592C9"/>
    <w:rsid w:val="7B686A82"/>
    <w:rsid w:val="7C17403D"/>
    <w:rsid w:val="7C638378"/>
    <w:rsid w:val="7C853701"/>
    <w:rsid w:val="7D208B4E"/>
    <w:rsid w:val="7D271310"/>
    <w:rsid w:val="7E59E0FF"/>
    <w:rsid w:val="7E6A0624"/>
    <w:rsid w:val="7E89881D"/>
    <w:rsid w:val="7F32F40A"/>
    <w:rsid w:val="7F59F770"/>
    <w:rsid w:val="7F7D393D"/>
    <w:rsid w:val="7FC8D723"/>
    <w:rsid w:val="7FDD81FE"/>
    <w:rsid w:val="7FE0CA9E"/>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0A29152C-DCB7-4986-898D-88C46CA3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num" w:pos="360"/>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A31A7C"/>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A31A7C"/>
    <w:rPr>
      <w:rFonts w:ascii="Consolas" w:hAnsi="Consolas"/>
    </w:rPr>
  </w:style>
  <w:style w:type="paragraph" w:customStyle="1" w:styleId="p1">
    <w:name w:val="p1"/>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customStyle="1" w:styleId="s1">
    <w:name w:val="s1"/>
    <w:basedOn w:val="Standardnpsmoodstavce"/>
    <w:rsid w:val="006348C5"/>
  </w:style>
  <w:style w:type="paragraph" w:customStyle="1" w:styleId="p2">
    <w:name w:val="p2"/>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styleId="Siln">
    <w:name w:val="Strong"/>
    <w:basedOn w:val="Standardnpsmoodstavce"/>
    <w:uiPriority w:val="22"/>
    <w:qFormat/>
    <w:rsid w:val="00B25F0C"/>
    <w:rPr>
      <w:b/>
      <w:bCs/>
    </w:rPr>
  </w:style>
  <w:style w:type="table" w:styleId="Tabulkasmkou3">
    <w:name w:val="Grid Table 3"/>
    <w:basedOn w:val="Normlntabulka"/>
    <w:uiPriority w:val="48"/>
    <w:rsid w:val="001C77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CommentReference1">
    <w:name w:val="Comment Reference1"/>
    <w:basedOn w:val="Standardnpsmoodstavce"/>
    <w:uiPriority w:val="99"/>
    <w:semiHidden/>
    <w:unhideWhenUsed/>
    <w:rsid w:val="004E597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5143">
      <w:bodyDiv w:val="1"/>
      <w:marLeft w:val="0"/>
      <w:marRight w:val="0"/>
      <w:marTop w:val="0"/>
      <w:marBottom w:val="0"/>
      <w:divBdr>
        <w:top w:val="none" w:sz="0" w:space="0" w:color="auto"/>
        <w:left w:val="none" w:sz="0" w:space="0" w:color="auto"/>
        <w:bottom w:val="none" w:sz="0" w:space="0" w:color="auto"/>
        <w:right w:val="none" w:sz="0" w:space="0" w:color="auto"/>
      </w:divBdr>
    </w:div>
    <w:div w:id="91974424">
      <w:bodyDiv w:val="1"/>
      <w:marLeft w:val="0"/>
      <w:marRight w:val="0"/>
      <w:marTop w:val="0"/>
      <w:marBottom w:val="0"/>
      <w:divBdr>
        <w:top w:val="none" w:sz="0" w:space="0" w:color="auto"/>
        <w:left w:val="none" w:sz="0" w:space="0" w:color="auto"/>
        <w:bottom w:val="none" w:sz="0" w:space="0" w:color="auto"/>
        <w:right w:val="none" w:sz="0" w:space="0" w:color="auto"/>
      </w:divBdr>
      <w:divsChild>
        <w:div w:id="104541134">
          <w:marLeft w:val="0"/>
          <w:marRight w:val="0"/>
          <w:marTop w:val="0"/>
          <w:marBottom w:val="0"/>
          <w:divBdr>
            <w:top w:val="none" w:sz="0" w:space="0" w:color="auto"/>
            <w:left w:val="none" w:sz="0" w:space="0" w:color="auto"/>
            <w:bottom w:val="none" w:sz="0" w:space="0" w:color="auto"/>
            <w:right w:val="none" w:sz="0" w:space="0" w:color="auto"/>
          </w:divBdr>
          <w:divsChild>
            <w:div w:id="1070811228">
              <w:marLeft w:val="0"/>
              <w:marRight w:val="0"/>
              <w:marTop w:val="0"/>
              <w:marBottom w:val="0"/>
              <w:divBdr>
                <w:top w:val="none" w:sz="0" w:space="0" w:color="auto"/>
                <w:left w:val="none" w:sz="0" w:space="0" w:color="auto"/>
                <w:bottom w:val="none" w:sz="0" w:space="0" w:color="auto"/>
                <w:right w:val="none" w:sz="0" w:space="0" w:color="auto"/>
              </w:divBdr>
              <w:divsChild>
                <w:div w:id="1949194184">
                  <w:marLeft w:val="0"/>
                  <w:marRight w:val="0"/>
                  <w:marTop w:val="0"/>
                  <w:marBottom w:val="0"/>
                  <w:divBdr>
                    <w:top w:val="none" w:sz="0" w:space="0" w:color="auto"/>
                    <w:left w:val="none" w:sz="0" w:space="0" w:color="auto"/>
                    <w:bottom w:val="none" w:sz="0" w:space="0" w:color="auto"/>
                    <w:right w:val="none" w:sz="0" w:space="0" w:color="auto"/>
                  </w:divBdr>
                  <w:divsChild>
                    <w:div w:id="1457212067">
                      <w:marLeft w:val="0"/>
                      <w:marRight w:val="0"/>
                      <w:marTop w:val="0"/>
                      <w:marBottom w:val="0"/>
                      <w:divBdr>
                        <w:top w:val="none" w:sz="0" w:space="0" w:color="auto"/>
                        <w:left w:val="none" w:sz="0" w:space="0" w:color="auto"/>
                        <w:bottom w:val="none" w:sz="0" w:space="0" w:color="auto"/>
                        <w:right w:val="none" w:sz="0" w:space="0" w:color="auto"/>
                      </w:divBdr>
                      <w:divsChild>
                        <w:div w:id="1786925287">
                          <w:marLeft w:val="0"/>
                          <w:marRight w:val="0"/>
                          <w:marTop w:val="0"/>
                          <w:marBottom w:val="0"/>
                          <w:divBdr>
                            <w:top w:val="none" w:sz="0" w:space="0" w:color="auto"/>
                            <w:left w:val="none" w:sz="0" w:space="0" w:color="auto"/>
                            <w:bottom w:val="none" w:sz="0" w:space="0" w:color="auto"/>
                            <w:right w:val="none" w:sz="0" w:space="0" w:color="auto"/>
                          </w:divBdr>
                          <w:divsChild>
                            <w:div w:id="1697123265">
                              <w:marLeft w:val="0"/>
                              <w:marRight w:val="0"/>
                              <w:marTop w:val="0"/>
                              <w:marBottom w:val="0"/>
                              <w:divBdr>
                                <w:top w:val="none" w:sz="0" w:space="0" w:color="auto"/>
                                <w:left w:val="none" w:sz="0" w:space="0" w:color="auto"/>
                                <w:bottom w:val="none" w:sz="0" w:space="0" w:color="auto"/>
                                <w:right w:val="none" w:sz="0" w:space="0" w:color="auto"/>
                              </w:divBdr>
                              <w:divsChild>
                                <w:div w:id="1266427052">
                                  <w:marLeft w:val="0"/>
                                  <w:marRight w:val="0"/>
                                  <w:marTop w:val="0"/>
                                  <w:marBottom w:val="0"/>
                                  <w:divBdr>
                                    <w:top w:val="none" w:sz="0" w:space="0" w:color="auto"/>
                                    <w:left w:val="none" w:sz="0" w:space="0" w:color="auto"/>
                                    <w:bottom w:val="none" w:sz="0" w:space="0" w:color="auto"/>
                                    <w:right w:val="none" w:sz="0" w:space="0" w:color="auto"/>
                                  </w:divBdr>
                                  <w:divsChild>
                                    <w:div w:id="14891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sChild>
            <w:div w:id="100998220">
              <w:marLeft w:val="0"/>
              <w:marRight w:val="0"/>
              <w:marTop w:val="0"/>
              <w:marBottom w:val="0"/>
              <w:divBdr>
                <w:top w:val="none" w:sz="0" w:space="0" w:color="auto"/>
                <w:left w:val="none" w:sz="0" w:space="0" w:color="auto"/>
                <w:bottom w:val="none" w:sz="0" w:space="0" w:color="auto"/>
                <w:right w:val="none" w:sz="0" w:space="0" w:color="auto"/>
              </w:divBdr>
            </w:div>
            <w:div w:id="124473514">
              <w:marLeft w:val="0"/>
              <w:marRight w:val="0"/>
              <w:marTop w:val="0"/>
              <w:marBottom w:val="0"/>
              <w:divBdr>
                <w:top w:val="none" w:sz="0" w:space="0" w:color="auto"/>
                <w:left w:val="none" w:sz="0" w:space="0" w:color="auto"/>
                <w:bottom w:val="none" w:sz="0" w:space="0" w:color="auto"/>
                <w:right w:val="none" w:sz="0" w:space="0" w:color="auto"/>
              </w:divBdr>
            </w:div>
            <w:div w:id="319237183">
              <w:marLeft w:val="0"/>
              <w:marRight w:val="0"/>
              <w:marTop w:val="0"/>
              <w:marBottom w:val="0"/>
              <w:divBdr>
                <w:top w:val="none" w:sz="0" w:space="0" w:color="auto"/>
                <w:left w:val="none" w:sz="0" w:space="0" w:color="auto"/>
                <w:bottom w:val="none" w:sz="0" w:space="0" w:color="auto"/>
                <w:right w:val="none" w:sz="0" w:space="0" w:color="auto"/>
              </w:divBdr>
            </w:div>
            <w:div w:id="904485341">
              <w:marLeft w:val="0"/>
              <w:marRight w:val="0"/>
              <w:marTop w:val="0"/>
              <w:marBottom w:val="0"/>
              <w:divBdr>
                <w:top w:val="none" w:sz="0" w:space="0" w:color="auto"/>
                <w:left w:val="none" w:sz="0" w:space="0" w:color="auto"/>
                <w:bottom w:val="none" w:sz="0" w:space="0" w:color="auto"/>
                <w:right w:val="none" w:sz="0" w:space="0" w:color="auto"/>
              </w:divBdr>
            </w:div>
            <w:div w:id="1900438203">
              <w:marLeft w:val="0"/>
              <w:marRight w:val="0"/>
              <w:marTop w:val="0"/>
              <w:marBottom w:val="0"/>
              <w:divBdr>
                <w:top w:val="none" w:sz="0" w:space="0" w:color="auto"/>
                <w:left w:val="none" w:sz="0" w:space="0" w:color="auto"/>
                <w:bottom w:val="none" w:sz="0" w:space="0" w:color="auto"/>
                <w:right w:val="none" w:sz="0" w:space="0" w:color="auto"/>
              </w:divBdr>
            </w:div>
            <w:div w:id="20444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365519471">
      <w:bodyDiv w:val="1"/>
      <w:marLeft w:val="0"/>
      <w:marRight w:val="0"/>
      <w:marTop w:val="0"/>
      <w:marBottom w:val="0"/>
      <w:divBdr>
        <w:top w:val="none" w:sz="0" w:space="0" w:color="auto"/>
        <w:left w:val="none" w:sz="0" w:space="0" w:color="auto"/>
        <w:bottom w:val="none" w:sz="0" w:space="0" w:color="auto"/>
        <w:right w:val="none" w:sz="0" w:space="0" w:color="auto"/>
      </w:divBdr>
    </w:div>
    <w:div w:id="547643562">
      <w:bodyDiv w:val="1"/>
      <w:marLeft w:val="0"/>
      <w:marRight w:val="0"/>
      <w:marTop w:val="0"/>
      <w:marBottom w:val="0"/>
      <w:divBdr>
        <w:top w:val="none" w:sz="0" w:space="0" w:color="auto"/>
        <w:left w:val="none" w:sz="0" w:space="0" w:color="auto"/>
        <w:bottom w:val="none" w:sz="0" w:space="0" w:color="auto"/>
        <w:right w:val="none" w:sz="0" w:space="0" w:color="auto"/>
      </w:divBdr>
    </w:div>
    <w:div w:id="599948267">
      <w:bodyDiv w:val="1"/>
      <w:marLeft w:val="0"/>
      <w:marRight w:val="0"/>
      <w:marTop w:val="0"/>
      <w:marBottom w:val="0"/>
      <w:divBdr>
        <w:top w:val="none" w:sz="0" w:space="0" w:color="auto"/>
        <w:left w:val="none" w:sz="0" w:space="0" w:color="auto"/>
        <w:bottom w:val="none" w:sz="0" w:space="0" w:color="auto"/>
        <w:right w:val="none" w:sz="0" w:space="0" w:color="auto"/>
      </w:divBdr>
    </w:div>
    <w:div w:id="665937658">
      <w:bodyDiv w:val="1"/>
      <w:marLeft w:val="0"/>
      <w:marRight w:val="0"/>
      <w:marTop w:val="0"/>
      <w:marBottom w:val="0"/>
      <w:divBdr>
        <w:top w:val="none" w:sz="0" w:space="0" w:color="auto"/>
        <w:left w:val="none" w:sz="0" w:space="0" w:color="auto"/>
        <w:bottom w:val="none" w:sz="0" w:space="0" w:color="auto"/>
        <w:right w:val="none" w:sz="0" w:space="0" w:color="auto"/>
      </w:divBdr>
    </w:div>
    <w:div w:id="820581698">
      <w:bodyDiv w:val="1"/>
      <w:marLeft w:val="0"/>
      <w:marRight w:val="0"/>
      <w:marTop w:val="0"/>
      <w:marBottom w:val="0"/>
      <w:divBdr>
        <w:top w:val="none" w:sz="0" w:space="0" w:color="auto"/>
        <w:left w:val="none" w:sz="0" w:space="0" w:color="auto"/>
        <w:bottom w:val="none" w:sz="0" w:space="0" w:color="auto"/>
        <w:right w:val="none" w:sz="0" w:space="0" w:color="auto"/>
      </w:divBdr>
    </w:div>
    <w:div w:id="848451617">
      <w:bodyDiv w:val="1"/>
      <w:marLeft w:val="0"/>
      <w:marRight w:val="0"/>
      <w:marTop w:val="0"/>
      <w:marBottom w:val="0"/>
      <w:divBdr>
        <w:top w:val="none" w:sz="0" w:space="0" w:color="auto"/>
        <w:left w:val="none" w:sz="0" w:space="0" w:color="auto"/>
        <w:bottom w:val="none" w:sz="0" w:space="0" w:color="auto"/>
        <w:right w:val="none" w:sz="0" w:space="0" w:color="auto"/>
      </w:divBdr>
    </w:div>
    <w:div w:id="934483169">
      <w:bodyDiv w:val="1"/>
      <w:marLeft w:val="0"/>
      <w:marRight w:val="0"/>
      <w:marTop w:val="0"/>
      <w:marBottom w:val="0"/>
      <w:divBdr>
        <w:top w:val="none" w:sz="0" w:space="0" w:color="auto"/>
        <w:left w:val="none" w:sz="0" w:space="0" w:color="auto"/>
        <w:bottom w:val="none" w:sz="0" w:space="0" w:color="auto"/>
        <w:right w:val="none" w:sz="0" w:space="0" w:color="auto"/>
      </w:divBdr>
    </w:div>
    <w:div w:id="947078484">
      <w:bodyDiv w:val="1"/>
      <w:marLeft w:val="0"/>
      <w:marRight w:val="0"/>
      <w:marTop w:val="0"/>
      <w:marBottom w:val="0"/>
      <w:divBdr>
        <w:top w:val="none" w:sz="0" w:space="0" w:color="auto"/>
        <w:left w:val="none" w:sz="0" w:space="0" w:color="auto"/>
        <w:bottom w:val="none" w:sz="0" w:space="0" w:color="auto"/>
        <w:right w:val="none" w:sz="0" w:space="0" w:color="auto"/>
      </w:divBdr>
    </w:div>
    <w:div w:id="962074383">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004623934">
      <w:bodyDiv w:val="1"/>
      <w:marLeft w:val="0"/>
      <w:marRight w:val="0"/>
      <w:marTop w:val="0"/>
      <w:marBottom w:val="0"/>
      <w:divBdr>
        <w:top w:val="none" w:sz="0" w:space="0" w:color="auto"/>
        <w:left w:val="none" w:sz="0" w:space="0" w:color="auto"/>
        <w:bottom w:val="none" w:sz="0" w:space="0" w:color="auto"/>
        <w:right w:val="none" w:sz="0" w:space="0" w:color="auto"/>
      </w:divBdr>
    </w:div>
    <w:div w:id="1018627521">
      <w:bodyDiv w:val="1"/>
      <w:marLeft w:val="0"/>
      <w:marRight w:val="0"/>
      <w:marTop w:val="0"/>
      <w:marBottom w:val="0"/>
      <w:divBdr>
        <w:top w:val="none" w:sz="0" w:space="0" w:color="auto"/>
        <w:left w:val="none" w:sz="0" w:space="0" w:color="auto"/>
        <w:bottom w:val="none" w:sz="0" w:space="0" w:color="auto"/>
        <w:right w:val="none" w:sz="0" w:space="0" w:color="auto"/>
      </w:divBdr>
    </w:div>
    <w:div w:id="1105685376">
      <w:bodyDiv w:val="1"/>
      <w:marLeft w:val="0"/>
      <w:marRight w:val="0"/>
      <w:marTop w:val="0"/>
      <w:marBottom w:val="0"/>
      <w:divBdr>
        <w:top w:val="none" w:sz="0" w:space="0" w:color="auto"/>
        <w:left w:val="none" w:sz="0" w:space="0" w:color="auto"/>
        <w:bottom w:val="none" w:sz="0" w:space="0" w:color="auto"/>
        <w:right w:val="none" w:sz="0" w:space="0" w:color="auto"/>
      </w:divBdr>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193223396">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471242259">
      <w:bodyDiv w:val="1"/>
      <w:marLeft w:val="0"/>
      <w:marRight w:val="0"/>
      <w:marTop w:val="0"/>
      <w:marBottom w:val="0"/>
      <w:divBdr>
        <w:top w:val="none" w:sz="0" w:space="0" w:color="auto"/>
        <w:left w:val="none" w:sz="0" w:space="0" w:color="auto"/>
        <w:bottom w:val="none" w:sz="0" w:space="0" w:color="auto"/>
        <w:right w:val="none" w:sz="0" w:space="0" w:color="auto"/>
      </w:divBdr>
    </w:div>
    <w:div w:id="1517498233">
      <w:bodyDiv w:val="1"/>
      <w:marLeft w:val="0"/>
      <w:marRight w:val="0"/>
      <w:marTop w:val="0"/>
      <w:marBottom w:val="0"/>
      <w:divBdr>
        <w:top w:val="none" w:sz="0" w:space="0" w:color="auto"/>
        <w:left w:val="none" w:sz="0" w:space="0" w:color="auto"/>
        <w:bottom w:val="none" w:sz="0" w:space="0" w:color="auto"/>
        <w:right w:val="none" w:sz="0" w:space="0" w:color="auto"/>
      </w:divBdr>
      <w:divsChild>
        <w:div w:id="992411750">
          <w:marLeft w:val="0"/>
          <w:marRight w:val="0"/>
          <w:marTop w:val="0"/>
          <w:marBottom w:val="0"/>
          <w:divBdr>
            <w:top w:val="none" w:sz="0" w:space="0" w:color="auto"/>
            <w:left w:val="none" w:sz="0" w:space="0" w:color="auto"/>
            <w:bottom w:val="none" w:sz="0" w:space="0" w:color="auto"/>
            <w:right w:val="none" w:sz="0" w:space="0" w:color="auto"/>
          </w:divBdr>
          <w:divsChild>
            <w:div w:id="380905746">
              <w:marLeft w:val="0"/>
              <w:marRight w:val="0"/>
              <w:marTop w:val="0"/>
              <w:marBottom w:val="0"/>
              <w:divBdr>
                <w:top w:val="none" w:sz="0" w:space="0" w:color="auto"/>
                <w:left w:val="none" w:sz="0" w:space="0" w:color="auto"/>
                <w:bottom w:val="none" w:sz="0" w:space="0" w:color="auto"/>
                <w:right w:val="none" w:sz="0" w:space="0" w:color="auto"/>
              </w:divBdr>
              <w:divsChild>
                <w:div w:id="495074829">
                  <w:marLeft w:val="0"/>
                  <w:marRight w:val="0"/>
                  <w:marTop w:val="0"/>
                  <w:marBottom w:val="0"/>
                  <w:divBdr>
                    <w:top w:val="none" w:sz="0" w:space="0" w:color="auto"/>
                    <w:left w:val="none" w:sz="0" w:space="0" w:color="auto"/>
                    <w:bottom w:val="none" w:sz="0" w:space="0" w:color="auto"/>
                    <w:right w:val="none" w:sz="0" w:space="0" w:color="auto"/>
                  </w:divBdr>
                  <w:divsChild>
                    <w:div w:id="747658971">
                      <w:marLeft w:val="0"/>
                      <w:marRight w:val="0"/>
                      <w:marTop w:val="0"/>
                      <w:marBottom w:val="0"/>
                      <w:divBdr>
                        <w:top w:val="none" w:sz="0" w:space="0" w:color="auto"/>
                        <w:left w:val="none" w:sz="0" w:space="0" w:color="auto"/>
                        <w:bottom w:val="none" w:sz="0" w:space="0" w:color="auto"/>
                        <w:right w:val="none" w:sz="0" w:space="0" w:color="auto"/>
                      </w:divBdr>
                      <w:divsChild>
                        <w:div w:id="261572697">
                          <w:marLeft w:val="0"/>
                          <w:marRight w:val="0"/>
                          <w:marTop w:val="0"/>
                          <w:marBottom w:val="0"/>
                          <w:divBdr>
                            <w:top w:val="none" w:sz="0" w:space="0" w:color="auto"/>
                            <w:left w:val="none" w:sz="0" w:space="0" w:color="auto"/>
                            <w:bottom w:val="none" w:sz="0" w:space="0" w:color="auto"/>
                            <w:right w:val="none" w:sz="0" w:space="0" w:color="auto"/>
                          </w:divBdr>
                          <w:divsChild>
                            <w:div w:id="1063021899">
                              <w:marLeft w:val="0"/>
                              <w:marRight w:val="0"/>
                              <w:marTop w:val="0"/>
                              <w:marBottom w:val="0"/>
                              <w:divBdr>
                                <w:top w:val="none" w:sz="0" w:space="0" w:color="auto"/>
                                <w:left w:val="none" w:sz="0" w:space="0" w:color="auto"/>
                                <w:bottom w:val="none" w:sz="0" w:space="0" w:color="auto"/>
                                <w:right w:val="none" w:sz="0" w:space="0" w:color="auto"/>
                              </w:divBdr>
                              <w:divsChild>
                                <w:div w:id="398140340">
                                  <w:marLeft w:val="0"/>
                                  <w:marRight w:val="0"/>
                                  <w:marTop w:val="0"/>
                                  <w:marBottom w:val="0"/>
                                  <w:divBdr>
                                    <w:top w:val="none" w:sz="0" w:space="0" w:color="auto"/>
                                    <w:left w:val="none" w:sz="0" w:space="0" w:color="auto"/>
                                    <w:bottom w:val="none" w:sz="0" w:space="0" w:color="auto"/>
                                    <w:right w:val="none" w:sz="0" w:space="0" w:color="auto"/>
                                  </w:divBdr>
                                  <w:divsChild>
                                    <w:div w:id="4580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1891067259">
      <w:bodyDiv w:val="1"/>
      <w:marLeft w:val="0"/>
      <w:marRight w:val="0"/>
      <w:marTop w:val="0"/>
      <w:marBottom w:val="0"/>
      <w:divBdr>
        <w:top w:val="none" w:sz="0" w:space="0" w:color="auto"/>
        <w:left w:val="none" w:sz="0" w:space="0" w:color="auto"/>
        <w:bottom w:val="none" w:sz="0" w:space="0" w:color="auto"/>
        <w:right w:val="none" w:sz="0" w:space="0" w:color="auto"/>
      </w:divBdr>
    </w:div>
    <w:div w:id="1941793577">
      <w:bodyDiv w:val="1"/>
      <w:marLeft w:val="0"/>
      <w:marRight w:val="0"/>
      <w:marTop w:val="0"/>
      <w:marBottom w:val="0"/>
      <w:divBdr>
        <w:top w:val="none" w:sz="0" w:space="0" w:color="auto"/>
        <w:left w:val="none" w:sz="0" w:space="0" w:color="auto"/>
        <w:bottom w:val="none" w:sz="0" w:space="0" w:color="auto"/>
        <w:right w:val="none" w:sz="0" w:space="0" w:color="auto"/>
      </w:divBdr>
    </w:div>
    <w:div w:id="1961262258">
      <w:bodyDiv w:val="1"/>
      <w:marLeft w:val="0"/>
      <w:marRight w:val="0"/>
      <w:marTop w:val="0"/>
      <w:marBottom w:val="0"/>
      <w:divBdr>
        <w:top w:val="none" w:sz="0" w:space="0" w:color="auto"/>
        <w:left w:val="none" w:sz="0" w:space="0" w:color="auto"/>
        <w:bottom w:val="none" w:sz="0" w:space="0" w:color="auto"/>
        <w:right w:val="none" w:sz="0" w:space="0" w:color="auto"/>
      </w:divBdr>
    </w:div>
    <w:div w:id="1994067824">
      <w:bodyDiv w:val="1"/>
      <w:marLeft w:val="0"/>
      <w:marRight w:val="0"/>
      <w:marTop w:val="0"/>
      <w:marBottom w:val="0"/>
      <w:divBdr>
        <w:top w:val="none" w:sz="0" w:space="0" w:color="auto"/>
        <w:left w:val="none" w:sz="0" w:space="0" w:color="auto"/>
        <w:bottom w:val="none" w:sz="0" w:space="0" w:color="auto"/>
        <w:right w:val="none" w:sz="0" w:space="0" w:color="auto"/>
      </w:divBdr>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 w:id="20624840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33E9D955-863B-4CA3-AF02-8477DD6F9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7</TotalTime>
  <Pages>8</Pages>
  <Words>2462</Words>
  <Characters>14529</Characters>
  <Application>Microsoft Office Word</Application>
  <DocSecurity>0</DocSecurity>
  <Lines>121</Lines>
  <Paragraphs>33</Paragraphs>
  <ScaleCrop>false</ScaleCrop>
  <Company/>
  <LinksUpToDate>false</LinksUpToDate>
  <CharactersWithSpaces>16958</CharactersWithSpaces>
  <SharedDoc>false</SharedDoc>
  <HLinks>
    <vt:vector size="6" baseType="variant">
      <vt:variant>
        <vt:i4>1048609</vt:i4>
      </vt:variant>
      <vt:variant>
        <vt:i4>0</vt:i4>
      </vt:variant>
      <vt:variant>
        <vt:i4>0</vt:i4>
      </vt:variant>
      <vt:variant>
        <vt:i4>5</vt:i4>
      </vt:variant>
      <vt:variant>
        <vt:lpwstr>mailto:media@coltczgroup.com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Švejcarová Simona</cp:lastModifiedBy>
  <cp:revision>12</cp:revision>
  <cp:lastPrinted>2024-03-26T17:45:00Z</cp:lastPrinted>
  <dcterms:created xsi:type="dcterms:W3CDTF">2026-05-20T12:41:00Z</dcterms:created>
  <dcterms:modified xsi:type="dcterms:W3CDTF">2026-05-21T05:15:00Z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y fmtid="{D5CDD505-2E9C-101B-9397-08002B2CF9AE}" pid="3" name="MediaServiceImageTags">
    <vt:lpwstr/>
  </property>
</Properties>
</file>